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7048500" cy="4359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35927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Liang Jianzhang</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680"/>
        <w:spacing w:after="0" w:line="317" w:lineRule="auto"/>
        <w:rPr>
          <w:sz w:val="20"/>
          <w:szCs w:val="20"/>
          <w:color w:val="auto"/>
        </w:rPr>
      </w:pPr>
      <w:r>
        <w:rPr>
          <w:rFonts w:ascii="Times New Roman" w:cs="Times New Roman" w:eastAsia="Times New Roman" w:hAnsi="Times New Roman"/>
          <w:sz w:val="16"/>
          <w:szCs w:val="16"/>
          <w:color w:val="0000FF"/>
        </w:rPr>
        <w:t>C/O TRIP.COM GROUP LIMITED, 30 RAFFLES PLACE, #29-01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Trip.com Group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TCOM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03/18/2026</w:t>
      </w:r>
    </w:p>
    <w:p>
      <w:pPr>
        <w:spacing w:after="0" w:line="20" w:lineRule="exact"/>
        <w:rPr>
          <w:sz w:val="24"/>
          <w:szCs w:val="24"/>
          <w:color w:val="auto"/>
        </w:rPr>
      </w:pPr>
      <w:r>
        <w:rPr>
          <w:sz w:val="24"/>
          <w:szCs w:val="24"/>
          <w:color w:val="auto"/>
        </w:rPr>
        <w:br w:type="column"/>
      </w:r>
    </w:p>
    <w:p>
      <w:pPr>
        <w:ind w:left="4" w:right="720" w:hanging="4"/>
        <w:spacing w:after="0" w:line="285"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8" w:lineRule="exact"/>
        <w:rPr>
          <w:sz w:val="24"/>
          <w:szCs w:val="24"/>
          <w:color w:val="auto"/>
        </w:rPr>
      </w:pPr>
    </w:p>
    <w:p>
      <w:pPr>
        <w:sectPr>
          <w:pgSz w:w="11900" w:h="16838" w:orient="portrait"/>
          <w:cols w:equalWidth="0" w:num="3">
            <w:col w:w="3180" w:space="720"/>
            <w:col w:w="3116" w:space="720"/>
            <w:col w:w="3344"/>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0" w:type="dxa"/>
            <w:vAlign w:val="bottom"/>
            <w:gridSpan w:val="9"/>
          </w:tcPr>
          <w:p>
            <w:pPr>
              <w:jc w:val="center"/>
              <w:ind w:right="83"/>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SINGAPORE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U0</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048622</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6"/>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gridSpan w:val="3"/>
          </w:tcPr>
          <w:p>
            <w:pPr>
              <w:ind w:left="900"/>
              <w:spacing w:after="0"/>
              <w:rPr>
                <w:sz w:val="20"/>
                <w:szCs w:val="20"/>
                <w:color w:val="auto"/>
              </w:rPr>
            </w:pPr>
            <w:r>
              <w:rPr>
                <w:rFonts w:ascii="Arial" w:cs="Arial" w:eastAsia="Arial" w:hAnsi="Arial"/>
                <w:sz w:val="11"/>
                <w:szCs w:val="11"/>
                <w:b w:val="1"/>
                <w:bCs w:val="1"/>
                <w:color w:val="auto"/>
                <w:w w:val="99"/>
              </w:rPr>
              <w:t>2. Transaction</w:t>
            </w: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6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27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gridSpan w:val="8"/>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180" w:type="dxa"/>
            <w:vAlign w:val="bottom"/>
          </w:tcPr>
          <w:p>
            <w:pPr>
              <w:spacing w:after="0"/>
              <w:rPr>
                <w:sz w:val="20"/>
                <w:szCs w:val="20"/>
                <w:color w:val="auto"/>
              </w:rPr>
            </w:pPr>
            <w:r>
              <w:rPr>
                <w:rFonts w:ascii="Arial" w:cs="Arial" w:eastAsia="Arial" w:hAnsi="Arial"/>
                <w:sz w:val="11"/>
                <w:szCs w:val="11"/>
                <w:b w:val="1"/>
                <w:bCs w:val="1"/>
                <w:color w:val="auto"/>
              </w:rPr>
              <w:t>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Forward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American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By Smart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Sale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(1)(2)(3)</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1,000,000</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Contract</w:t>
            </w:r>
          </w:p>
        </w:tc>
        <w:tc>
          <w:tcPr>
            <w:tcW w:w="640" w:type="dxa"/>
            <w:vAlign w:val="bottom"/>
          </w:tcPr>
          <w:p>
            <w:pPr>
              <w:ind w:left="200"/>
              <w:spacing w:after="0"/>
              <w:rPr>
                <w:sz w:val="20"/>
                <w:szCs w:val="20"/>
                <w:color w:val="auto"/>
              </w:rPr>
            </w:pPr>
            <w:r>
              <w:rPr>
                <w:rFonts w:ascii="Times New Roman" w:cs="Times New Roman" w:eastAsia="Times New Roman" w:hAnsi="Times New Roman"/>
                <w:sz w:val="10"/>
                <w:szCs w:val="10"/>
                <w:color w:val="008000"/>
              </w:rPr>
              <w:t>(1)(2)(3)</w:t>
            </w:r>
          </w:p>
        </w:tc>
        <w:tc>
          <w:tcPr>
            <w:tcW w:w="120" w:type="dxa"/>
            <w:vAlign w:val="bottom"/>
          </w:tcPr>
          <w:p>
            <w:pPr>
              <w:spacing w:after="0"/>
              <w:rPr>
                <w:sz w:val="12"/>
                <w:szCs w:val="12"/>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09/03/2025</w:t>
            </w:r>
          </w:p>
        </w:tc>
        <w:tc>
          <w:tcPr>
            <w:tcW w:w="10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1,000,000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84"/>
              <w:spacing w:after="0"/>
              <w:rPr>
                <w:sz w:val="20"/>
                <w:szCs w:val="20"/>
                <w:color w:val="auto"/>
              </w:rPr>
            </w:pPr>
            <w:r>
              <w:rPr>
                <w:rFonts w:ascii="Times New Roman" w:cs="Times New Roman" w:eastAsia="Times New Roman" w:hAnsi="Times New Roman"/>
                <w:sz w:val="10"/>
                <w:szCs w:val="10"/>
                <w:color w:val="008000"/>
              </w:rPr>
              <w:t>(1)(2)(3)</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(1)(2)(3)</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depositary</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(1)(2)(3)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1,000,000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Charm</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(obligation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ind w:left="100"/>
              <w:spacing w:after="0" w:line="157" w:lineRule="exact"/>
              <w:rPr>
                <w:sz w:val="20"/>
                <w:szCs w:val="20"/>
                <w:color w:val="auto"/>
              </w:rPr>
            </w:pPr>
            <w:r>
              <w:rPr>
                <w:rFonts w:ascii="Times New Roman" w:cs="Times New Roman" w:eastAsia="Times New Roman" w:hAnsi="Times New Roman"/>
                <w:sz w:val="11"/>
                <w:szCs w:val="11"/>
                <w:color w:val="0000FF"/>
              </w:rPr>
              <w:t>share</w:t>
            </w:r>
            <w:r>
              <w:rPr>
                <w:rFonts w:ascii="Times New Roman" w:cs="Times New Roman" w:eastAsia="Times New Roman" w:hAnsi="Times New Roman"/>
                <w:sz w:val="18"/>
                <w:szCs w:val="18"/>
                <w:color w:val="008000"/>
                <w:vertAlign w:val="superscript"/>
              </w:rPr>
              <w:t>(4)</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3"/>
          </w:tcPr>
          <w:p>
            <w:pPr>
              <w:ind w:left="160"/>
              <w:spacing w:after="0" w:line="157" w:lineRule="exact"/>
              <w:rPr>
                <w:sz w:val="20"/>
                <w:szCs w:val="20"/>
                <w:color w:val="auto"/>
              </w:rPr>
            </w:pPr>
            <w:r>
              <w:rPr>
                <w:rFonts w:ascii="Times New Roman" w:cs="Times New Roman" w:eastAsia="Times New Roman" w:hAnsi="Times New Roman"/>
                <w:sz w:val="11"/>
                <w:szCs w:val="11"/>
                <w:color w:val="0000FF"/>
              </w:rPr>
              <w:t>Limited</w:t>
            </w:r>
            <w:r>
              <w:rPr>
                <w:rFonts w:ascii="Times New Roman" w:cs="Times New Roman" w:eastAsia="Times New Roman" w:hAnsi="Times New Roman"/>
                <w:sz w:val="18"/>
                <w:szCs w:val="18"/>
                <w:color w:val="008000"/>
                <w:vertAlign w:val="superscript"/>
              </w:rPr>
              <w:t>(5)</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to sell)</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18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September 3, 2025, Smart Charm Limited entered into a prepaid variable forward contract with an unaffiliated third-party buyer. The contract obligates Smart Charm Limited to deliver to the buyer up to an aggregate of 1,000,000 American depositary shares, or ADSs, each representing one ordinary share of Trip.com Group Limited (or, at Smart Charm Limited's election, an equivalent amount of cash based on the market price of the ADSs) on three settlement dates, including up to 333,334 ADSs on September 5, 2028, up to 333,333 ADSs on September 6, 2028, and up to 333,333 ADSs on September 7, 2028, respectively (the "Base Amount"). In exchange for assuming this obligation, Smart Charm Limited received a cash payment. Smart Charm Limited pledged 1,000,000 ADSs to secure its obligation under the contract, and retains voting rights in the pledged ADSs during the term of the pledge,</w:t>
      </w:r>
    </w:p>
    <w:p>
      <w:pPr>
        <w:spacing w:after="0" w:line="20" w:lineRule="exact"/>
        <w:rPr>
          <w:rFonts w:ascii="Times New Roman" w:cs="Times New Roman" w:eastAsia="Times New Roman" w:hAnsi="Times New Roman"/>
          <w:sz w:val="12"/>
          <w:szCs w:val="12"/>
          <w:color w:val="008000"/>
        </w:rPr>
      </w:pPr>
    </w:p>
    <w:p>
      <w:pPr>
        <w:ind w:left="40" w:right="22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 but is obligated to pay to the buyer the economic benefits of certain dividends during the term of the pledge. The number of ADSs to be delivered by Smart Charm Limited to the buyer on the settlement dates is to be generally determined as follows: (a) if the volume-weighted average price of the ADSs on the relevant valuation date (the "Settlement Price") is less than a specific cap price ("Cap Level") but greater than a specific floor price ("Floor Level"), Smart Charm Limited will deliver a number of ADSs equal to the Base Amount multiplied by a ratio equal to the Floor Level divided by the Settlement Price; (b) if the Settlement Price is equal or greater than the Cap Level on a settlement date, Smart Charm Limited will deliver a number of ADSs equal to the Base Amount multiplied by a ratio equal to a fraction with a numerator equal to the sum of (A) the Floor Level and (b) the excess, if any, of the Settlement Price over the Cap Level,</w:t>
      </w:r>
    </w:p>
    <w:p>
      <w:pPr>
        <w:spacing w:after="0" w:line="20" w:lineRule="exact"/>
        <w:rPr>
          <w:rFonts w:ascii="Times New Roman" w:cs="Times New Roman" w:eastAsia="Times New Roman" w:hAnsi="Times New Roman"/>
          <w:sz w:val="12"/>
          <w:szCs w:val="12"/>
          <w:color w:val="008000"/>
        </w:rPr>
      </w:pPr>
    </w:p>
    <w:p>
      <w:pPr>
        <w:ind w:left="40" w:right="16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and a denominator equal to the Settlement Price; and (c) if the Settlement Price is equal to or less than the Floor Level on a settlement date, Smart Charm Limited will deliver a number of ADSs equal to the Base Amount.</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American depositary share represent one ordinary share of Trip.com Group Limited.</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Smart Charm Limited is a British Virgin Islands company wholly owned and controlled by the Reporting Person's spouse.</w:t>
      </w:r>
    </w:p>
    <w:p>
      <w:pPr>
        <w:spacing w:after="0" w:line="6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Liang Jianzhang</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04/28/2026</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8655" TargetMode="External"/><Relationship Id="rId14" Type="http://schemas.openxmlformats.org/officeDocument/2006/relationships/hyperlink" Target="http://www.sec.gov/cgi-bin/browse-edgar?action=getcompany&amp;CIK=00012692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2026-04-28T06:22:26Z</dcterms:created>
  <dcterms:modified xsi:type="dcterms:W3CDTF">2026-04-28T06:22:26Z</dcterms:modified>
</cp:coreProperties>
</file>