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816d6k.htm"/>
      <w:bookmarkStart w:id="1" w:name="ksd16781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001-33853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Name)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30 Raffles Place, #29-01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048622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0"/>
        <w:gridCol w:w="670"/>
        <w:gridCol w:w="8335"/>
      </w:tblGrid>
      <w:tr>
        <w:trPr/>
        <w:tc>
          <w:tcPr>
            <w:tcW w:w="1200" w:type="dxa"/>
            <w:tcBorders/>
            <w:vAlign w:val="center"/>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8335" w:type="dxa"/>
            <w:tcBorders/>
            <w:vAlign w:val="center"/>
          </w:tcPr>
          <w:p>
            <w:pPr>
              <w:pStyle w:val="TableContents"/>
              <w:bidi w:val="0"/>
              <w:spacing w:before="0" w:after="283"/>
              <w:jc w:val="left"/>
              <w:rPr>
                <w:sz w:val="4"/>
                <w:szCs w:val="4"/>
              </w:rPr>
            </w:pPr>
            <w:r>
              <w:rPr>
                <w:sz w:val="4"/>
                <w:szCs w:val="4"/>
              </w:rPr>
            </w:r>
          </w:p>
        </w:tc>
      </w:tr>
      <w:tr>
        <w:trPr/>
        <w:tc>
          <w:tcPr>
            <w:tcW w:w="1200"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70" w:type="dxa"/>
            <w:tcBorders/>
            <w:vAlign w:val="bottom"/>
          </w:tcPr>
          <w:p>
            <w:pPr>
              <w:pStyle w:val="TableContents"/>
              <w:bidi w:val="0"/>
              <w:spacing w:before="0" w:after="283"/>
              <w:jc w:val="left"/>
              <w:rPr/>
            </w:pPr>
            <w:r>
              <w:rPr/>
              <w:t>  </w:t>
            </w:r>
          </w:p>
        </w:tc>
        <w:tc>
          <w:tcPr>
            <w:tcW w:w="83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99.1</w:t>
            </w:r>
          </w:p>
        </w:tc>
        <w:tc>
          <w:tcPr>
            <w:tcW w:w="670"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w:anchor="d167816dex991.htm">
              <w:r>
                <w:rPr>
                  <w:rStyle w:val="InternetLink"/>
                </w:rPr>
                <w:t xml:space="preserve">Press Release — Trip.com Group Limited Reports Unaudited Second Quarter and First Half of 2026 Financial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7"/>
        <w:gridCol w:w="60"/>
        <w:gridCol w:w="194"/>
        <w:gridCol w:w="60"/>
        <w:gridCol w:w="3141"/>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TRIP.COM GROUP LIMITED</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254"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1" w:type="dxa"/>
            <w:tcBorders>
              <w:bottom w:val="single" w:sz="2" w:space="0" w:color="000000"/>
            </w:tcBorders>
            <w:tcMar>
              <w:bottom w:w="28" w:type="dxa"/>
            </w:tcMar>
          </w:tcPr>
          <w:p>
            <w:pPr>
              <w:pStyle w:val="TableContents"/>
              <w:bidi w:val="0"/>
              <w:spacing w:before="0" w:after="283"/>
              <w:jc w:val="left"/>
              <w:rPr/>
            </w:pPr>
            <w:r>
              <w:rPr/>
              <w:t>/s/ Cindy Xiaofan Wang</w:t>
            </w:r>
          </w:p>
        </w:tc>
      </w:tr>
      <w:tr>
        <w:trPr/>
        <w:tc>
          <w:tcPr>
            <w:tcW w:w="62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bidi w:val="0"/>
              <w:spacing w:before="0" w:after="283"/>
              <w:jc w:val="left"/>
              <w:rPr/>
            </w:pPr>
            <w:r>
              <w:rPr/>
              <w:t>Cindy Xiaofan Wang</w:t>
            </w:r>
          </w:p>
        </w:tc>
      </w:tr>
      <w:tr>
        <w:trPr/>
        <w:tc>
          <w:tcPr>
            <w:tcW w:w="62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194"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16, 2026 </w:t>
      </w:r>
    </w:p>
    <w:p>
      <w:pPr>
        <w:pStyle w:val="TextBody"/>
        <w:bidi w:val="0"/>
        <w:spacing w:before="0" w:after="0"/>
        <w:jc w:val="right"/>
        <w:rPr>
          <w:rFonts w:ascii="Times New Roman" w:hAnsi="Times New Roman"/>
          <w:b/>
          <w:sz w:val="20"/>
        </w:rPr>
      </w:pPr>
      <w:bookmarkStart w:id="2" w:name="d167816dex991.htm"/>
      <w:bookmarkStart w:id="3" w:name="ksd167816dex991"/>
      <w:bookmarkEnd w:id="2"/>
      <w:bookmarkEnd w:id="3"/>
      <w:r>
        <w:rPr>
          <w:rFonts w:ascii="Times New Roman" w:hAnsi="Times New Roman"/>
          <w:b/>
          <w:sz w:val="20"/>
        </w:rPr>
        <w:t xml:space="preserve">Exhibit 99.1 </w:t>
      </w:r>
      <w:r>
        <w:br w:type="page"/>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Trip.com Group Limited Reports Unaudited Second Quarter and First Half of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SINGAPORE, September 15, 2026 — Trip.com Group Limited (Nasdaq: TCOM; HKEX: 9961) (“Trip.com Group” or the “Company”), a leading global one-stop travel service provider of accommodation reservation, transportation ticketing, packaged tours, and corporate travel management, today announced its unaudited financial results for the second quarter and first half of 2026. </w:t>
      </w:r>
    </w:p>
    <w:p>
      <w:pPr>
        <w:pStyle w:val="TextBody"/>
        <w:bidi w:val="0"/>
        <w:spacing w:before="360" w:after="0"/>
        <w:jc w:val="left"/>
        <w:rPr>
          <w:rFonts w:ascii="Times New Roman" w:hAnsi="Times New Roman"/>
          <w:b/>
          <w:sz w:val="20"/>
        </w:rPr>
      </w:pPr>
      <w:r>
        <w:rPr>
          <w:rFonts w:ascii="Times New Roman" w:hAnsi="Times New Roman"/>
          <w:b/>
          <w:sz w:val="20"/>
        </w:rPr>
        <w:t xml:space="preserve">Key Highlights for the Second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2"/>
        <w:gridCol w:w="9901"/>
      </w:tblGrid>
      <w:tr>
        <w:trPr/>
        <w:tc>
          <w:tcPr>
            <w:tcW w:w="202"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9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International business delivered robust growth across all segments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the Company’s international platform increased by over 50%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9899"/>
      </w:tblGrid>
      <w:tr>
        <w:trPr/>
        <w:tc>
          <w:tcPr>
            <w:tcW w:w="306" w:type="dxa"/>
            <w:tcBorders/>
          </w:tcPr>
          <w:p>
            <w:pPr>
              <w:pStyle w:val="TableContents"/>
              <w:bidi w:val="0"/>
              <w:spacing w:before="0" w:after="283"/>
              <w:jc w:val="left"/>
              <w:rPr/>
            </w:pPr>
            <w:r>
              <w:rPr/>
              <w:t>-</w:t>
            </w:r>
          </w:p>
        </w:tc>
        <w:tc>
          <w:tcPr>
            <w:tcW w:w="98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Inbound travel revenue increased at a high double-digit rate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9902"/>
      </w:tblGrid>
      <w:tr>
        <w:trPr/>
        <w:tc>
          <w:tcPr>
            <w:tcW w:w="202"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9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Company delivered solid results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net revenue for the second quarter of 2026 was RMB15.7 billion (US$2.3 billion), increased by 6%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9901"/>
      </w:tblGrid>
      <w:tr>
        <w:trPr/>
        <w:tc>
          <w:tcPr>
            <w:tcW w:w="304" w:type="dxa"/>
            <w:tcBorders/>
          </w:tcPr>
          <w:p>
            <w:pPr>
              <w:pStyle w:val="TableContents"/>
              <w:bidi w:val="0"/>
              <w:spacing w:before="0" w:after="283"/>
              <w:jc w:val="left"/>
              <w:rPr/>
            </w:pPr>
            <w:r>
              <w:rPr/>
              <w:t>-</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Diluted loss per ordinary share and per ADS was RMB3.89 (US$0.57) for the second quarter of 2026. Non-GAAP diluted earnings per ordinary share and per ADS was RMB7.27 (US$1.07) for the second quarter of 2026, up from RMB7.20 in the same period last year. </w:t>
            </w:r>
          </w:p>
        </w:tc>
      </w:tr>
    </w:tbl>
    <w:p>
      <w:pPr>
        <w:pStyle w:val="TextBody"/>
        <w:bidi w:val="0"/>
        <w:spacing w:before="240" w:after="0"/>
        <w:jc w:val="left"/>
        <w:rPr/>
      </w:pPr>
      <w:r>
        <w:rPr/>
        <w:t>“</w:t>
      </w:r>
      <w:r>
        <w:rPr>
          <w:rFonts w:ascii="Times New Roman" w:hAnsi="Times New Roman"/>
          <w:sz w:val="20"/>
        </w:rPr>
        <w:t xml:space="preserve">Travel remains a fundamental consumer need, and we see significant long-term opportunities as travelers seek more personalized and rewarding experiences. Our strategic priorities remain clear: Globalization and Great Quality, or G2,” said James Liang, Executive Chairman. “Building on this foundation, we are advancing our proprietary AI capabilities across every stage of the travel journey to accelerate G2 and unlock new opportunities for growth. We are building a more differentiated and valuable global platform for travelers and partners, positioning us for the next phase of sustainable growth.” </w:t>
      </w:r>
    </w:p>
    <w:p>
      <w:pPr>
        <w:pStyle w:val="TextBody"/>
        <w:bidi w:val="0"/>
        <w:spacing w:before="240" w:after="0"/>
        <w:jc w:val="left"/>
        <w:rPr/>
      </w:pPr>
      <w:r>
        <w:rPr/>
        <w:t>“</w:t>
      </w:r>
      <w:r>
        <w:rPr>
          <w:rFonts w:ascii="Times New Roman" w:hAnsi="Times New Roman"/>
          <w:sz w:val="20"/>
        </w:rPr>
        <w:t xml:space="preserve">Trip.com Group delivered resilient performance in the second quarter, with inbound and world-to-world travel continuing to gain momentum as structural growth drivers,” said Jane Sun, Chief Executive Officer. “We see an opportunity to build a healthier ecosystem centered on value, experience, and service quality. We are expanding our offerings to include new travel and lifestyle experiences, while leveraging technology and international marketing to help partners differentiate and drive sustainable growth. We remain focused on disciplined execution and building the capabilities to capture these growth opportunities at scale.”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of 2026 Financial Results and Business Updates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Trip.com Group reported total net revenues of RMB15.7 billion (US$2.3 billion), representing a 6% increase from the same period in 2025, primarily driven by resilient travel demand. Total net revenues for the second quarter of 2026 decreased by 3% from the previous quarter, primarily due to macro headwinds such as elevated energy prices and geopolitical volatility, alongside operational adjustments the Company implemented to align with evolving industry standards and compliance frameworks.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Accommodation reservation revenue for the second quarter of 2026 was RMB6.6 billion (US$969 million), representing a 6% increase from the same period in 2025, primarily driven by an increase in accommodation reservations, and partially offset by a contra-revenue imposed by the State Administration for Market Regulation of the People’s Republic of China (the “SAMR”). Accommodation reservation revenue for the second quarter of 2026 increased by 1% from the previous quarter. </w:t>
      </w:r>
    </w:p>
    <w:p>
      <w:pPr>
        <w:pStyle w:val="TextBody"/>
        <w:bidi w:val="0"/>
        <w:spacing w:before="240" w:after="0"/>
        <w:jc w:val="left"/>
        <w:rPr>
          <w:rFonts w:ascii="Times New Roman" w:hAnsi="Times New Roman"/>
          <w:sz w:val="20"/>
        </w:rPr>
      </w:pPr>
      <w:r>
        <w:rPr>
          <w:rFonts w:ascii="Times New Roman" w:hAnsi="Times New Roman"/>
          <w:sz w:val="20"/>
        </w:rPr>
        <w:t xml:space="preserve">Transportation ticketing revenue for the second quarter of 2026 was RMB5.4 billion (US$788 million), representing a 1% decrease from the same period in 2025 and a 12% decrease from the previous quarter, primarily due to macro headwinds such as elevated energy prices and geopolitical volatility. </w:t>
      </w:r>
    </w:p>
    <w:p>
      <w:pPr>
        <w:pStyle w:val="TextBody"/>
        <w:bidi w:val="0"/>
        <w:spacing w:before="240" w:after="0"/>
        <w:jc w:val="left"/>
        <w:rPr>
          <w:rFonts w:ascii="Times New Roman" w:hAnsi="Times New Roman"/>
          <w:sz w:val="20"/>
        </w:rPr>
      </w:pPr>
      <w:r>
        <w:rPr>
          <w:rFonts w:ascii="Times New Roman" w:hAnsi="Times New Roman"/>
          <w:sz w:val="20"/>
        </w:rPr>
        <w:t xml:space="preserve">Packaged-tour revenue for the second quarter of 2026 was RMB1.2 billion (US$171 million), representing an 8% increase from the same period in 2025, primarily driven by an increase in packaged-tour reservations. Packaged-tour revenue for the second quarter of 2026 increased by 3% from the previous quarter, primarily driven by resilient travel demand, particularly during the holiday periods. </w:t>
      </w:r>
    </w:p>
    <w:p>
      <w:pPr>
        <w:pStyle w:val="TextBody"/>
        <w:bidi w:val="0"/>
        <w:spacing w:before="240" w:after="0"/>
        <w:jc w:val="left"/>
        <w:rPr>
          <w:rFonts w:ascii="Times New Roman" w:hAnsi="Times New Roman"/>
          <w:sz w:val="20"/>
        </w:rPr>
      </w:pPr>
      <w:r>
        <w:rPr>
          <w:rFonts w:ascii="Times New Roman" w:hAnsi="Times New Roman"/>
          <w:sz w:val="20"/>
        </w:rPr>
        <w:t xml:space="preserve">Corporate travel revenue for the second quarter of 2026 was RMB771 million (US$114 million), representing an 11% increase from the same period in 2025 and a 12% increase from the previous quarter, primarily driven by an increase in corporate travel reservations.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 for the second quarter of 2026 increased by 12% to RMB3.2 billion (US$466 million) from the same period in 2025 and decreased by 5% from the previous quarter, which was generally in line with the fluctuations in total net revenues from the respective periods. Cost of revenue as a percentage of total net revenues was 20% for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Product development expenses for the second quarter of 2026 increased by 8% to RMB3.8 billion (US$559 million) from the same period in 2025 and decreased by 7% from the previous quarter, primarily due to the fluctuations in product development personnel related expenses. Product development expenses as a percentage of total net revenues were 24% for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Sales and marketing expenses for the second quarter of 2026 increased by 15% to RMB3.8 billion (US$566 million) from the same period in 2025 and increased by 3% from the previous quarter, primarily due to the increase in expenses relating to sales and marketing promotion activities. Sales and marketing expenses as a percentage of total net revenues were 25% for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for the second quarter of 2026 increased by 477% to RMB6.3 billion (US$933 million) from the same period in 2025 and increased by 463% from the previous quarter, primarily due to the anti-monopoly penalty by the SAMR in the amount of RMB5.2 billion (US$763 million). Without the effect of the anti-monopoly penalty, general and administrative expenses for the second quarter of 2026 would have increased by 5% to RMB1.2 billion (US$170 million) from the same period in 2025 and would have increased by 2% from the previous quarter. General and administrative expenses as a percentage of total net revenues were 40% for the second quarter of 2026. Without the effect of the anti-monopoly penalty, general and administrative expenses as a percentage of total net revenues would have been 7% for the second quarter of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tax expense for the second quarter of 2026 was RMB799 million (US$118 million), compared to RMB998 million for the same period in 2025 and RMB893 million for the previous quarter. The change in Trip.com Group’s effective tax rate was primarily due to the combined impacts of changes in respective profitability of its subsidiaries with different tax rates, changes in deferred tax liabilities relating to withholding tax, certain non-taxable income or loss resulting from the fair value changes in equity securities investments and exchangeable senior notes recorded in other income and anti-monopoly penalty in general and administrative expenses, and changes in valuation allowance provided for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Net loss for the second quarter of 2026 was RMB2.4 billion (US$361 million), compared to net income of RMB4.9 billion for the same period in 2025 and net income of RMB2.5 billion for the previous quarter, primarily due to the anti-monopoly penalty by the SAMR in the amount of RMB5.2 billion (US$763 million). Without the effect of the anti-monopoly penalty, net income for the second quarter of 2026 would have been RMB2.7 billion (US$402 million). Adjusted EBITDA for the second quarter of 2026 was RMB4.6 billion (US$673 million), compared to RMB4.9 billion for the same period in 2025 and RMB4.8 billion for the previous quarter.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Trip.com Group’s shareholders for the second quarter of 2026 was RMB2.5 billion (US$363 million), compared to net income attributable to Trip.com Group’s shareholders of RMB4.8 billion for the same period in 2025 and RMB2.5 billion for the previous quarter, primarily due to the anti-monopoly penalty by the SAMR in the amount of RMB5.2 billion (US$763 million). Without the effect of the anti-monopoly penalty, net income attributable to Trip.com Group’s shareholders for the second quarter of 2026 would have been RMB2.7 billion (US$400 million). Excluding share-based compensation charges, the anti-monopoly penalty by the SAMR, fair value changes of equity securities investments and exchangeable senior notes recorded in other income, and their tax effects, non-GAAP net income attributable to Trip.com Group’s shareholders for the second quarter of 2026 was RMB4.8 billion (US$706 million), compared to RMB5.0 billion for the same period in 2025 and RMB3.9 billion for the previous quarter. </w:t>
      </w:r>
    </w:p>
    <w:p>
      <w:pPr>
        <w:pStyle w:val="TextBody"/>
        <w:bidi w:val="0"/>
        <w:spacing w:before="240" w:after="0"/>
        <w:jc w:val="left"/>
        <w:rPr>
          <w:rFonts w:ascii="Times New Roman" w:hAnsi="Times New Roman"/>
          <w:sz w:val="20"/>
        </w:rPr>
      </w:pPr>
      <w:r>
        <w:rPr>
          <w:rFonts w:ascii="Times New Roman" w:hAnsi="Times New Roman"/>
          <w:sz w:val="20"/>
        </w:rPr>
        <w:t xml:space="preserve">Diluted loss per ordinary share and per ADS was RMB3.89 (US$0.57) for the second quarter of 2026. Excluding share-based compensation charges, the anti-monopoly penalty by the SAMR, fair value changes of equity securities investments and exchangeable senior notes recorded in other income, and their tax effects, non-GAAP diluted earnings per ordinary share and per ADS was RMB7.27 (US$1.07) for the second quarter of 2026. Each ADS currently represents one ordinary share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balance of cash and cash equivalents, restricted cash, short-term investment, and held to maturity time deposit and financial products was RMB100.5 billion (US$14.8 billion).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Trip.com Group’s management team will host a conference call at 8:00 PM on September 15, 2026, U.S. Eastern Time (or 8:00 AM on September 16, 2026, Hong Kong Time) following this announcement. </w:t>
      </w:r>
    </w:p>
    <w:p>
      <w:pPr>
        <w:pStyle w:val="TextBody"/>
        <w:bidi w:val="0"/>
        <w:spacing w:before="240" w:after="0"/>
        <w:jc w:val="left"/>
        <w:rPr>
          <w:rFonts w:ascii="Times New Roman" w:hAnsi="Times New Roman"/>
          <w:sz w:val="20"/>
        </w:rPr>
      </w:pPr>
      <w:r>
        <w:rPr>
          <w:rFonts w:ascii="Times New Roman" w:hAnsi="Times New Roman"/>
          <w:sz w:val="20"/>
        </w:rPr>
        <w:t xml:space="preserve">The conference call will be available live on Webcast and for replay at: </w:t>
      </w:r>
      <w:r>
        <w:rPr>
          <w:rFonts w:ascii="Times New Roman" w:hAnsi="Times New Roman"/>
          <w:sz w:val="20"/>
          <w:u w:val="single"/>
        </w:rPr>
        <w:t>https://investors.trip.com</w:t>
      </w:r>
      <w:r>
        <w:rPr>
          <w:rFonts w:ascii="Times New Roman" w:hAnsi="Times New Roman"/>
          <w:sz w:val="20"/>
        </w:rPr>
        <w:t xml:space="preserve">. The call will be archived for twelve months on our website.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participants must pre-register to join this conference call using the Participant Registration link below: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https://register-conf.media-server.com/register/BI2674f539340943acacf4a39cf6d51444. </w:t>
      </w:r>
    </w:p>
    <w:p>
      <w:pPr>
        <w:pStyle w:val="TextBody"/>
        <w:bidi w:val="0"/>
        <w:spacing w:before="240" w:after="0"/>
        <w:jc w:val="left"/>
        <w:rPr>
          <w:rFonts w:ascii="Times New Roman" w:hAnsi="Times New Roman"/>
          <w:sz w:val="20"/>
        </w:rPr>
      </w:pPr>
      <w:r>
        <w:rPr>
          <w:rFonts w:ascii="Times New Roman" w:hAnsi="Times New Roman"/>
          <w:sz w:val="20"/>
        </w:rPr>
        <w:t xml:space="preserve">Upon registration, each participant will receive details for this conference call, including dial-in numbers and a unique access PIN. To join the conference, please dial the number provided, enter your PIN, and you will join the conference instantly.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“may,” “will,” “expect,” “anticipate,” “future,” “intend,” “plan,” “believe,” “estimate,” “is/are likely to,” “confident,” or other similar statements. Among other things, quotations from management in this press release, as well as Trip.com Group’s strategic and operational plans, contain forward-looking statements. Forward-looking statements involve inherent risks and uncertainties. A number of important factors could cause actual results to differ materially from those contained in any forward-looking statement. Potential risks and uncertainties include, but are not limited to, severe or prolonged downturn in the global or Chinese economy, general declines or disruptions in the travel industry, volatility in the trading price of Trip.com Group’s ADSs or shares, Trip.com Group’s reliance on its relationships and contractual arrangements with travel suppliers and strategic alliances, failure to compete against new and existing competitors, failure to successfully manage current growth and potential future growth, risks associated with any strategic investments or acquisitions, seasonality in the travel industry in the relevant jurisdictions where Trip.com Group operates, failure to successfully develop Trip.com Group’s existing or future business lines, damage to or failure of Trip.com Group’s infrastructure and technology, loss of services of Trip.com Group’s key executives, adverse changes in economic and business conditions in the relevant jurisdictions where Trip.com Group operates, any regulatory developments in laws, regulations, rules, policies or guidelines applicable to Trip.com Group, any investigation, enforcement or legal/administrative proceeding against Trip.com Group in connection with its business operation and other risks outlined in Trip.com Group’s filings with the U.S. Securities and Exchange Commission or the Stock Exchange of Hong Kong Limited. All information provided in this press release and in the attachments is as of the date of the issuance, and Trip.com Group does not undertake any obligation to update any forward-looking statement,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About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Trip.com Group’s consolidated financial statements, which are prepared and presented in accordance with United States Generally Accepted Accounting Principles (“GAAP”), Trip.com Group uses non-GAAP financial information related to adjusted net income attributable to Trip.com Group Limited, adjusted EBITDA, adjusted EBITDA margin, and adjusted diluted earnings per ordinary share and per ADS, each of which is adjusted from the most comparable GAAP result to exclude the share-based compensation charges that are not tax deductible, fair value changes of equity securities investments and exchangeable senior notes recorded in other income, net of tax, and other applicable items. Trip.com Group’s management believes the non-GAAP financial measures facilitate better understanding of operating results from quarter to quarter and provide management with a better capability to plan and forecast future periods.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Non-GAAP information is not prepared in accordance with GAAP, does not have a standardized meaning under GAAP, and may be different from non-GAAP methods of accounting and reporting used by other companies. The presentation of this additional information should not be considered a substitute for GAAP results. A limitation of using non-GAAP financial measures is that non-GAAP measures exclude share-based compensation charges, fair value changes of equity securities investments and exchangeable senior notes recorded in other income, and their tax effects that have been and will continue to be significant recurring expenses in Trip.com Group’s business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Reconciliations of Trip.com Group’s non-GAAP financial data to the most comparable GAAP data included in the consolidated statement of operations are included at the end of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About Trip.com Group Limited </w:t>
      </w:r>
    </w:p>
    <w:p>
      <w:pPr>
        <w:pStyle w:val="TextBody"/>
        <w:bidi w:val="0"/>
        <w:spacing w:before="120" w:after="0"/>
        <w:jc w:val="left"/>
        <w:rPr>
          <w:rFonts w:ascii="Times New Roman" w:hAnsi="Times New Roman"/>
          <w:sz w:val="20"/>
        </w:rPr>
      </w:pPr>
      <w:r>
        <w:rPr>
          <w:rFonts w:ascii="Times New Roman" w:hAnsi="Times New Roman"/>
          <w:sz w:val="20"/>
        </w:rPr>
        <w:t xml:space="preserve">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Trip.com Group Limited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iremail@trip.com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6"/>
        <w:gridCol w:w="311"/>
        <w:gridCol w:w="136"/>
        <w:gridCol w:w="1841"/>
        <w:gridCol w:w="60"/>
        <w:gridCol w:w="311"/>
        <w:gridCol w:w="98"/>
        <w:gridCol w:w="1319"/>
        <w:gridCol w:w="60"/>
        <w:gridCol w:w="311"/>
        <w:gridCol w:w="114"/>
        <w:gridCol w:w="1305"/>
        <w:gridCol w:w="63"/>
      </w:tblGrid>
      <w:tr>
        <w:trPr/>
        <w:tc>
          <w:tcPr>
            <w:tcW w:w="4276"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br/>
              <w:t>RMB (million)</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RMB (million)</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USD (million)</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7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3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46,451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56,016</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8,256</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32,007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23,499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3,463</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15,241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17,053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2,513</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27,351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25,945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3,824</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b/>
              </w:rPr>
            </w:pPr>
            <w:r>
              <w:rPr>
                <w:b/>
              </w:rPr>
              <w:t>121,050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b/>
              </w:rPr>
            </w:pPr>
            <w:r>
              <w:rPr>
                <w:b/>
              </w:rPr>
              <w:t>122,513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b/>
              </w:rPr>
            </w:pPr>
            <w:r>
              <w:rPr>
                <w:b/>
              </w:rPr>
              <w:t>18,056</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Property, equipment and software</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5,445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5,767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850</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and land use rights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13,013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12,947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1,908</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881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854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(Includes held to maturity time deposit and financial products of RMB27,302 million and RMB21,001 million as of December 31, 2025 and June 30, 2026, respectively)</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61,375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51,361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7,570</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62,268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62,196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9,167</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517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76</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2,755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2,934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432</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b/>
              </w:rPr>
            </w:pPr>
            <w:r>
              <w:rPr>
                <w:b/>
              </w:rPr>
              <w:t>267,387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b/>
              </w:rPr>
            </w:pPr>
            <w:r>
              <w:rPr>
                <w:b/>
              </w:rPr>
              <w:t>259,089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b/>
              </w:rPr>
            </w:pPr>
            <w:r>
              <w:rPr>
                <w:b/>
              </w:rPr>
              <w:t>38,185</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3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 and current portion of long-term debt</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19,335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25,767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3,798</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19,150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19,958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2,941</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Advances from customers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18,185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20,861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3,075</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21,499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25,750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3,794</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b/>
              </w:rPr>
            </w:pPr>
            <w:r>
              <w:rPr>
                <w:b/>
              </w:rPr>
              <w:t>78,169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b/>
              </w:rPr>
            </w:pPr>
            <w:r>
              <w:rPr>
                <w:b/>
              </w:rPr>
              <w:t>92,336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13,608</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3,949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4,233</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624</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11,430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lease liability</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585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567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84</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654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519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b/>
              </w:rPr>
            </w:pPr>
            <w:r>
              <w:rPr>
                <w:b/>
              </w:rPr>
              <w:t>94,787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b/>
              </w:rPr>
            </w:pPr>
            <w:r>
              <w:rPr>
                <w:b/>
              </w:rPr>
              <w:t>98,285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b/>
              </w:rPr>
            </w:pPr>
            <w:r>
              <w:rPr>
                <w:b/>
              </w:rPr>
              <w:t>14,485</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b/>
                <w:sz w:val="20"/>
              </w:rPr>
            </w:pPr>
            <w:r>
              <w:rPr>
                <w:rFonts w:ascii="Times New Roman" w:hAnsi="Times New Roman"/>
                <w:b/>
                <w:sz w:val="20"/>
              </w:rPr>
              <w:t>MEZZANINE EQUITY</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b/>
              </w:rPr>
            </w:pPr>
            <w:r>
              <w:rPr>
                <w:b/>
              </w:rPr>
              <w:t>131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b/>
              </w:rPr>
            </w:pPr>
            <w:r>
              <w:rPr>
                <w:b/>
              </w:rPr>
              <w:t>140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21</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2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Trip.com Group Limited shareholders’ equity</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b/>
              </w:rPr>
            </w:pPr>
            <w:r>
              <w:rPr>
                <w:b/>
              </w:rPr>
              <w:t>170,818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b/>
              </w:rPr>
            </w:pPr>
            <w:r>
              <w:rPr>
                <w:b/>
              </w:rPr>
              <w:t>159,049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23,441</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1,651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1,615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238</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3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b/>
              </w:rPr>
            </w:pPr>
            <w:r>
              <w:rPr>
                <w:b/>
              </w:rPr>
              <w:t>172,469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b/>
              </w:rPr>
            </w:pPr>
            <w:r>
              <w:rPr>
                <w:b/>
              </w:rPr>
              <w:t>160,664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23,679</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mezzanine equity and shareholders’ equity</w:t>
            </w:r>
          </w:p>
        </w:tc>
        <w:tc>
          <w:tcPr>
            <w:tcW w:w="3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b/>
              </w:rPr>
            </w:pPr>
            <w:r>
              <w:rPr>
                <w:b/>
              </w:rPr>
              <w:t>267,387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b/>
              </w:rPr>
            </w:pPr>
            <w:r>
              <w:rPr>
                <w:b/>
              </w:rPr>
              <w:t>259,089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b/>
              </w:rPr>
            </w:pPr>
            <w:r>
              <w:rPr>
                <w:b/>
              </w:rPr>
              <w:t>38,185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Consolidated Statements of Income/(Loss)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share and per share data) </w:t>
      </w:r>
    </w:p>
    <w:p>
      <w:pPr>
        <w:pStyle w:val="TextBody"/>
        <w:bidi w:val="0"/>
        <w:spacing w:before="0" w:after="0"/>
        <w:jc w:val="left"/>
        <w:rPr/>
      </w:pPr>
      <w:r>
        <w:rPr/>
        <w:t> </w:t>
      </w:r>
    </w:p>
    <w:tbl>
      <w:tblPr>
        <w:tblW w:w="12960" w:type="dxa"/>
        <w:jc w:val="center"/>
        <w:tblInd w:w="0" w:type="dxa"/>
        <w:tblLayout w:type="fixed"/>
        <w:tblCellMar>
          <w:top w:w="0" w:type="dxa"/>
          <w:left w:w="0" w:type="dxa"/>
          <w:bottom w:w="0" w:type="dxa"/>
          <w:right w:w="0" w:type="dxa"/>
        </w:tblCellMar>
      </w:tblPr>
      <w:tblGrid>
        <w:gridCol w:w="1190"/>
        <w:gridCol w:w="120"/>
        <w:gridCol w:w="66"/>
        <w:gridCol w:w="1349"/>
        <w:gridCol w:w="155"/>
        <w:gridCol w:w="60"/>
        <w:gridCol w:w="75"/>
        <w:gridCol w:w="1535"/>
        <w:gridCol w:w="260"/>
        <w:gridCol w:w="60"/>
        <w:gridCol w:w="66"/>
        <w:gridCol w:w="1349"/>
        <w:gridCol w:w="155"/>
        <w:gridCol w:w="60"/>
        <w:gridCol w:w="66"/>
        <w:gridCol w:w="1349"/>
        <w:gridCol w:w="155"/>
        <w:gridCol w:w="60"/>
        <w:gridCol w:w="66"/>
        <w:gridCol w:w="1349"/>
        <w:gridCol w:w="155"/>
        <w:gridCol w:w="60"/>
        <w:gridCol w:w="66"/>
        <w:gridCol w:w="1349"/>
        <w:gridCol w:w="155"/>
        <w:gridCol w:w="60"/>
        <w:gridCol w:w="66"/>
        <w:gridCol w:w="1349"/>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0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rPr/>
            </w:pPr>
            <w:r>
              <w:rPr/>
              <w:t> </w:t>
            </w:r>
          </w:p>
        </w:tc>
      </w:tr>
      <w:tr>
        <w:trPr/>
        <w:tc>
          <w:tcPr>
            <w:tcW w:w="119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br/>
              <w:t>RMB (million)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RMB (million)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RMB (million)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USD (million)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br/>
              <w:t>RMB (million)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RMB (million)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USD (million)</w:t>
            </w:r>
          </w:p>
        </w:tc>
        <w:tc>
          <w:tcPr>
            <w:tcW w:w="155" w:type="dxa"/>
            <w:tcBorders/>
            <w:vAlign w:val="bottom"/>
          </w:tcPr>
          <w:p>
            <w:pPr>
              <w:pStyle w:val="TableContents"/>
              <w:bidi w:val="0"/>
              <w:spacing w:before="0" w:after="283"/>
              <w:jc w:val="left"/>
              <w:rPr/>
            </w:pPr>
            <w:r>
              <w:rPr/>
              <w:t> </w:t>
            </w:r>
          </w:p>
        </w:tc>
      </w:tr>
      <w:tr>
        <w:trPr/>
        <w:tc>
          <w:tcPr>
            <w:tcW w:w="119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Revenues: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Accommodation reservation</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6,225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6,510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6,576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11,766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1,929</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Transportation ticketing</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6,050</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10,815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11,400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1,680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Packaged-tour</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1,130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338</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Corporate travel</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690</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1,461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Others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1,828</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1,805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2,801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3,633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net revenues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14,843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16,208</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15,663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28,673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31,871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4,697</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Cost of revenue</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(3,330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(466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(5,523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(6,490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(956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Product development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(4,062</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(3,792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(7,854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(1,158</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Sales and marketing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(3,326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(3,747</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(3,841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(7,588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(1,118</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General and administrative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(1,124</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(933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(2,135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(1,099</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b/>
                <w:sz w:val="18"/>
              </w:rPr>
            </w:pPr>
            <w:r>
              <w:rPr>
                <w:rFonts w:ascii="Times New Roman" w:hAnsi="Times New Roman"/>
                <w:b/>
                <w:sz w:val="18"/>
              </w:rPr>
              <w:t>Income/(loss) from operations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4,102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3,945</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(1,462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(216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7,665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2,483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366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income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563</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1,249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(115</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income/(loss)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176</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b/>
                <w:sz w:val="18"/>
              </w:rPr>
            </w:pPr>
            <w:r>
              <w:rPr>
                <w:rFonts w:ascii="Times New Roman" w:hAnsi="Times New Roman"/>
                <w:b/>
                <w:sz w:val="18"/>
              </w:rPr>
              <w:t>Income/(loss) before income tax expense and equity in income/(loss) of affiliates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5,560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4,569</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(2,216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(327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10,614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2,353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347</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(893</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(249</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Equity in income/(loss) of affiliates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(1,151</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income/(loss)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4,880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2,525</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(2,445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(361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9,194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12</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Net income attributable to non-controlling interests and mezzanine classified non-controlling interests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(19</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Accretion to redemption value of redeemable non-controlling interests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income/(loss) attributable to Trip.com Group Limited</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4,846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2,499</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(2,458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(363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9,123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Earnings/(losses) per ordinary share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 Basic</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3.85</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 Diluted</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3.67</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(0.57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13.05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Earnings/(losses) per ADS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 Basic</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3.85</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(0.57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 Diluted</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3.67</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 average ordinary shares outstanding</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 Basic</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659,916,799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648,991,284</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632,330,255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632,330,255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660,060,247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640,617,168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640,617,168</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 Diluted</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695,705,348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681,679,206</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632,330,255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632,330,255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698,925,198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640,617,168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640,617,168</w:t>
            </w:r>
          </w:p>
        </w:tc>
        <w:tc>
          <w:tcPr>
            <w:tcW w:w="155" w:type="dxa"/>
            <w:tcBorders/>
            <w:shd w:fill="CCEEFF" w:val="clear"/>
            <w:vAlign w:val="bottom"/>
          </w:tcPr>
          <w:p>
            <w:pPr>
              <w:pStyle w:val="TableContents"/>
              <w:bidi w:val="0"/>
              <w:spacing w:before="0" w:after="283"/>
              <w:jc w:val="left"/>
              <w:rPr/>
            </w:pPr>
            <w:r>
              <w:rPr/>
              <w:t> </w:t>
            </w:r>
          </w:p>
        </w:tc>
      </w:tr>
      <w:tr>
        <w:trPr>
          <w:trHeight w:val="240" w:hRule="atLeast"/>
        </w:trPr>
        <w:tc>
          <w:tcPr>
            <w:tcW w:w="4810" w:type="dxa"/>
            <w:gridSpan w:val="9"/>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r>
      <w:tr>
        <w:trPr/>
        <w:tc>
          <w:tcPr>
            <w:tcW w:w="4550" w:type="dxa"/>
            <w:gridSpan w:val="8"/>
            <w:tcBorders/>
          </w:tcPr>
          <w:p>
            <w:pPr>
              <w:pStyle w:val="TableContents"/>
              <w:bidi w:val="0"/>
              <w:spacing w:before="0" w:after="0"/>
              <w:jc w:val="left"/>
              <w:rPr>
                <w:rFonts w:ascii="Times New Roman" w:hAnsi="Times New Roman"/>
                <w:sz w:val="18"/>
              </w:rPr>
            </w:pPr>
            <w:r>
              <w:rPr>
                <w:rFonts w:ascii="Times New Roman" w:hAnsi="Times New Roman"/>
                <w:sz w:val="18"/>
              </w:rPr>
              <w:t>*  Share-based compensation included in expenses above is as follows:</w:t>
            </w:r>
          </w:p>
        </w:tc>
        <w:tc>
          <w:tcPr>
            <w:tcW w:w="260"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Product development</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363</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18"/>
              </w:rPr>
            </w:pPr>
            <w:r>
              <w:rPr>
                <w:rFonts w:ascii="Times New Roman" w:hAnsi="Times New Roman"/>
                <w:sz w:val="18"/>
              </w:rPr>
              <w:t>Sales and marketing</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66</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General and administrative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262</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Reconciliation of GAAP and Non-GAAP Results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 share and per share data) </w:t>
      </w:r>
    </w:p>
    <w:p>
      <w:pPr>
        <w:pStyle w:val="TextBody"/>
        <w:bidi w:val="0"/>
        <w:spacing w:before="0" w:after="0"/>
        <w:jc w:val="left"/>
        <w:rPr/>
      </w:pPr>
      <w:r>
        <w:rPr/>
        <w:t> </w:t>
      </w:r>
    </w:p>
    <w:tbl>
      <w:tblPr>
        <w:tblW w:w="14265" w:type="dxa"/>
        <w:jc w:val="center"/>
        <w:tblInd w:w="0" w:type="dxa"/>
        <w:tblLayout w:type="fixed"/>
        <w:tblCellMar>
          <w:top w:w="0" w:type="dxa"/>
          <w:left w:w="0" w:type="dxa"/>
          <w:bottom w:w="0" w:type="dxa"/>
          <w:right w:w="0" w:type="dxa"/>
        </w:tblCellMar>
      </w:tblPr>
      <w:tblGrid>
        <w:gridCol w:w="1760"/>
        <w:gridCol w:w="120"/>
        <w:gridCol w:w="66"/>
        <w:gridCol w:w="1349"/>
        <w:gridCol w:w="275"/>
        <w:gridCol w:w="60"/>
        <w:gridCol w:w="75"/>
        <w:gridCol w:w="1535"/>
        <w:gridCol w:w="275"/>
        <w:gridCol w:w="60"/>
        <w:gridCol w:w="66"/>
        <w:gridCol w:w="1349"/>
        <w:gridCol w:w="275"/>
        <w:gridCol w:w="60"/>
        <w:gridCol w:w="66"/>
        <w:gridCol w:w="1349"/>
        <w:gridCol w:w="275"/>
        <w:gridCol w:w="60"/>
        <w:gridCol w:w="66"/>
        <w:gridCol w:w="1349"/>
        <w:gridCol w:w="275"/>
        <w:gridCol w:w="60"/>
        <w:gridCol w:w="66"/>
        <w:gridCol w:w="1349"/>
        <w:gridCol w:w="275"/>
        <w:gridCol w:w="60"/>
        <w:gridCol w:w="66"/>
        <w:gridCol w:w="1349"/>
        <w:gridCol w:w="2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1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75"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br/>
              <w:t>RMB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RMB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RMB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USD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br/>
              <w:t>RMB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RMB (million)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br/>
              <w:t>USD (million)</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income/(loss)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4,880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2,525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(2,445</w:t>
            </w:r>
          </w:p>
        </w:tc>
        <w:tc>
          <w:tcPr>
            <w:tcW w:w="27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(361</w:t>
            </w:r>
          </w:p>
        </w:tc>
        <w:tc>
          <w:tcPr>
            <w:tcW w:w="27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9,194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12</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Less: Interest income</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(563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(83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(1,249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 Interest expense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Less: Other (income)/loss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177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(2,251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 Income tax expense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998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249</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Less: Equity in (income)/loss of affiliates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1,151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(84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86</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Income/(loss) from operations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3,945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(1,462</w:t>
            </w:r>
          </w:p>
        </w:tc>
        <w:tc>
          <w:tcPr>
            <w:tcW w:w="27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(216</w:t>
            </w:r>
          </w:p>
        </w:tc>
        <w:tc>
          <w:tcPr>
            <w:tcW w:w="27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7,665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366</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Add: Share-based compensation</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566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691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1,338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197</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 Depreciation and amortization</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58</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Add: Anti-monopoly penalty by the State Administration for Market Regulation of the People’s Republic of China</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5,180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5,180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763</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Adjusted EBITDA</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4,880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4,830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4,565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673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9,127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9,395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1,384</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Adjusted EBITDA margin</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income/(loss) attributable to Trip.com Group Limited</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4,846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2,499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(2,458</w:t>
            </w:r>
          </w:p>
        </w:tc>
        <w:tc>
          <w:tcPr>
            <w:tcW w:w="27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(363</w:t>
            </w:r>
          </w:p>
        </w:tc>
        <w:tc>
          <w:tcPr>
            <w:tcW w:w="27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9,123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b/>
              </w:rPr>
            </w:pPr>
            <w:r>
              <w:rPr>
                <w:b/>
              </w:rPr>
              <w:t>6</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Add: Share-based compensation</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566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691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647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1,338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197</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 Anti-monopoly penalty by the State Administration for Market Regulation of the People’s Republic of China</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5,180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5,180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763</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Less: (Gain)/loss from fair value changes of equity securities investments and exchangeable senior notes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(447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876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1,454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(973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2,330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343</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 Tax effects on fair value changes of equity securities investments and exchangeable senior notes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b/>
                <w:sz w:val="18"/>
              </w:rPr>
            </w:pPr>
            <w:r>
              <w:rPr>
                <w:rFonts w:ascii="Times New Roman" w:hAnsi="Times New Roman"/>
                <w:b/>
                <w:sz w:val="18"/>
              </w:rPr>
              <w:t>Non-GAAP net income attributable to Trip.com Group Limited</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5,011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3,905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4,798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706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9,199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8,703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1,282</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 average ordinary shares outstanding-Diluted-non GAAP</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695,705,348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681,679,206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659,356,092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659,356,092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698,925,198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670,474,048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670,474,048</w:t>
            </w:r>
          </w:p>
        </w:tc>
        <w:tc>
          <w:tcPr>
            <w:tcW w:w="275" w:type="dxa"/>
            <w:tcBorders/>
            <w:shd w:fill="CCEEFF" w:val="clear"/>
            <w:vAlign w:val="bottom"/>
          </w:tcPr>
          <w:p>
            <w:pPr>
              <w:pStyle w:val="TableContents"/>
              <w:bidi w:val="0"/>
              <w:spacing w:before="0" w:after="283"/>
              <w:jc w:val="left"/>
              <w:rPr/>
            </w:pPr>
            <w:r>
              <w:rPr/>
              <w:t> </w:t>
            </w:r>
          </w:p>
        </w:tc>
      </w:tr>
      <w:tr>
        <w:trPr/>
        <w:tc>
          <w:tcPr>
            <w:tcW w:w="1760" w:type="dxa"/>
            <w:tcBorders/>
          </w:tcPr>
          <w:p>
            <w:pPr>
              <w:pStyle w:val="TableContents"/>
              <w:bidi w:val="0"/>
              <w:spacing w:before="0" w:after="0"/>
              <w:jc w:val="left"/>
              <w:rPr>
                <w:rFonts w:ascii="Times New Roman" w:hAnsi="Times New Roman"/>
                <w:sz w:val="18"/>
              </w:rPr>
            </w:pPr>
            <w:r>
              <w:rPr>
                <w:rFonts w:ascii="Times New Roman" w:hAnsi="Times New Roman"/>
                <w:sz w:val="18"/>
              </w:rPr>
              <w:t>Non-GAAP Diluted income per share</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5.73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13.16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12.98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1.91</w:t>
            </w:r>
          </w:p>
        </w:tc>
        <w:tc>
          <w:tcPr>
            <w:tcW w:w="275" w:type="dxa"/>
            <w:tcBorders/>
            <w:vAlign w:val="bottom"/>
          </w:tcPr>
          <w:p>
            <w:pPr>
              <w:pStyle w:val="TableContents"/>
              <w:bidi w:val="0"/>
              <w:spacing w:before="0" w:after="283"/>
              <w:jc w:val="left"/>
              <w:rPr/>
            </w:pPr>
            <w:r>
              <w:rPr/>
              <w:t> </w:t>
            </w:r>
          </w:p>
        </w:tc>
      </w:tr>
      <w:tr>
        <w:trPr/>
        <w:tc>
          <w:tcPr>
            <w:tcW w:w="17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Non-GAAP Diluted income per ADS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5.73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7.27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13.16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12.98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for all the condensed consolidated financial schedules presented: </w:t>
      </w:r>
    </w:p>
    <w:p>
      <w:pPr>
        <w:pStyle w:val="TextBody"/>
        <w:bidi w:val="0"/>
        <w:spacing w:before="240" w:after="0"/>
        <w:jc w:val="left"/>
        <w:rPr>
          <w:rFonts w:ascii="Times New Roman" w:hAnsi="Times New Roman"/>
          <w:sz w:val="20"/>
        </w:rPr>
      </w:pPr>
      <w:r>
        <w:rPr>
          <w:rFonts w:ascii="Times New Roman" w:hAnsi="Times New Roman"/>
          <w:sz w:val="20"/>
        </w:rPr>
        <w:t xml:space="preserve">Note 1: The conversion of Renminbi (RMB) into U.S. dollars (USD) is based on the certified exchange rate of USD1.00=RMB6.7851 on June 30, 2026 published by the Federal Reserve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3558</Words>
  <Characters>19720</Characters>
  <CharactersWithSpaces>24268</CharactersWithSpaces>
  <Paragraphs>2136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