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6213d6k.htm"/>
      <w:bookmarkStart w:id="1" w:name="ksd25621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001-33853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Name)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30 Raffles Place, #29-01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048622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6-K is being furnished to report that, on July 25, 2026, Trip.com Group Limited (the “Company”) received an administrative penalty decision (the “Decision”) issued by the State Administration for Market Regulation of the People’s Republic of China (the “SAMR”). The Decision was issued following the SAMR’s investigation, notice of which the Company had announced on January 14, 2026, pursuant to the Anti-Monopoly Law of the People’s Republic of China (the “Anti-Monopoly Law”). </w:t>
      </w:r>
    </w:p>
    <w:p>
      <w:pPr>
        <w:pStyle w:val="TextBody"/>
        <w:bidi w:val="0"/>
        <w:spacing w:before="240" w:after="0"/>
        <w:jc w:val="left"/>
        <w:rPr>
          <w:rFonts w:ascii="Times New Roman" w:hAnsi="Times New Roman"/>
          <w:sz w:val="20"/>
        </w:rPr>
      </w:pPr>
      <w:r>
        <w:rPr>
          <w:rFonts w:ascii="Times New Roman" w:hAnsi="Times New Roman"/>
          <w:sz w:val="20"/>
        </w:rPr>
        <w:t xml:space="preserve">The SAMR found that the Company had violated Article 22(4) and (5) of the Anti-Monopoly Law, which prohibits a business operator that has a dominant market position from restricting business counterparties through exclusive arrangements without justifiable cause and from imposing unreasonable terms on transactions without justifiable cause. </w:t>
      </w:r>
    </w:p>
    <w:p>
      <w:pPr>
        <w:pStyle w:val="TextBody"/>
        <w:bidi w:val="0"/>
        <w:spacing w:before="240" w:after="0"/>
        <w:jc w:val="left"/>
        <w:rPr>
          <w:rFonts w:ascii="Times New Roman" w:hAnsi="Times New Roman"/>
          <w:sz w:val="20"/>
        </w:rPr>
      </w:pPr>
      <w:r>
        <w:rPr>
          <w:rFonts w:ascii="Times New Roman" w:hAnsi="Times New Roman"/>
          <w:sz w:val="20"/>
        </w:rPr>
        <w:t xml:space="preserve">Pursuant to Articles 57 and 59 of the Anti-Monopoly Law, the SAMR (i) ordered the Company to cease violating acts and fully refund RMB122 million (US$18.0 million) in hotel order security deposits that were compulsorily deducted from hotel operators; (ii) confiscated the Company’s gains of RMB1,658 million (US$244.4 million) from violating acts; and (iii) imposed a fine of RMB3,521 million (US$518.9 million), representing 7.5% of the Company’s sales revenue generated from its operations in the People’s Republic of China in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sincerely accepts the Decision and will adopt rectification measures in accordance with applicable laws and regulations to implement the Decision’s requirements. The Company will strengthen its long-term governance mechanisms and strive to contribute to the sustainable development of the travel industry. </w:t>
      </w:r>
    </w:p>
    <w:p>
      <w:pPr>
        <w:pStyle w:val="TextBody"/>
        <w:bidi w:val="0"/>
        <w:spacing w:before="240" w:after="0"/>
        <w:jc w:val="left"/>
        <w:rPr>
          <w:rFonts w:ascii="Times New Roman" w:hAnsi="Times New Roman"/>
          <w:sz w:val="20"/>
        </w:rPr>
      </w:pPr>
      <w:r>
        <w:rPr>
          <w:rFonts w:ascii="Times New Roman" w:hAnsi="Times New Roman"/>
          <w:sz w:val="20"/>
        </w:rPr>
        <w:t xml:space="preserve">Note: all translations of RMB into US$ in this current report were made at RMB6.7851 to US$1.00, the exchange rate on June 30, 2026 as set forth in the H.10 statistical release of the Federal Reserve Board.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TRIP.COM GROUP LIMITED</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Cindy Xiaofan Wang</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Cindy Xiaofan Wang</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422</Words>
  <Characters>2349</Characters>
  <CharactersWithSpaces>2787</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6-K</dc:title>
</cp:coreProperties>
</file>