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1419d6k.htm"/>
      <w:bookmarkStart w:id="1" w:name="ksd17141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001-33853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Name)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30 Raffles Place, #29-01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048622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16, 2026, Hong Kong Time, the Company published its unaudited financial results for the second quarter and first half of 2026 as its interim report for the six months ended June 30, 2026 (the “HK Interim Report”) under Rule 13.48(1) of the Rules Governing the Listing of Securities on The Stock Exchange of Hong Kong Limited (the “Hong Kong Listing Rules”) on the website of The Stock Exchange of Hong Kong Limited. Pursuant to the Hong Kong Listing Rules, the HK Interim Report contains supplemental disclosure of reconciliation of the material differences between the unaudited consolidated financial statements of the Company prepared under the U.S. GAAP and International Financial Reporting Standards, which is attached hereto as Exhibit 99.1.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6"/>
        <w:gridCol w:w="657"/>
        <w:gridCol w:w="8332"/>
      </w:tblGrid>
      <w:tr>
        <w:trPr/>
        <w:tc>
          <w:tcPr>
            <w:tcW w:w="1216"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8332"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57" w:type="dxa"/>
            <w:tcBorders/>
            <w:vAlign w:val="bottom"/>
          </w:tcPr>
          <w:p>
            <w:pPr>
              <w:pStyle w:val="TableContents"/>
              <w:bidi w:val="0"/>
              <w:spacing w:before="0" w:after="283"/>
              <w:jc w:val="left"/>
              <w:rPr/>
            </w:pPr>
            <w:r>
              <w:rPr/>
              <w:t>  </w:t>
            </w:r>
          </w:p>
        </w:tc>
        <w:tc>
          <w:tcPr>
            <w:tcW w:w="83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16" w:type="dxa"/>
            <w:tcBorders/>
            <w:vAlign w:val="center"/>
          </w:tcPr>
          <w:p>
            <w:pPr>
              <w:pStyle w:val="TableContents"/>
              <w:bidi w:val="0"/>
              <w:spacing w:before="0" w:after="283"/>
              <w:jc w:val="left"/>
              <w:rPr>
                <w:sz w:val="4"/>
                <w:szCs w:val="4"/>
              </w:rPr>
            </w:pPr>
            <w:r>
              <w:rPr>
                <w:sz w:val="4"/>
                <w:szCs w:val="4"/>
              </w:rPr>
            </w:r>
          </w:p>
        </w:tc>
        <w:tc>
          <w:tcPr>
            <w:tcW w:w="8989" w:type="dxa"/>
            <w:gridSpan w:val="2"/>
            <w:tcBorders/>
            <w:vAlign w:val="center"/>
          </w:tcPr>
          <w:p>
            <w:pPr>
              <w:pStyle w:val="TableContents"/>
              <w:bidi w:val="0"/>
              <w:spacing w:before="0" w:after="283"/>
              <w:jc w:val="left"/>
              <w:rPr>
                <w:sz w:val="4"/>
                <w:szCs w:val="4"/>
              </w:rPr>
            </w:pPr>
            <w:r>
              <w:rPr>
                <w:sz w:val="4"/>
                <w:szCs w:val="4"/>
              </w:rPr>
            </w:r>
          </w:p>
        </w:tc>
      </w:tr>
      <w:tr>
        <w:trPr/>
        <w:tc>
          <w:tcPr>
            <w:tcW w:w="1216" w:type="dxa"/>
            <w:tcBorders/>
          </w:tcPr>
          <w:p>
            <w:pPr>
              <w:pStyle w:val="TableContents"/>
              <w:bidi w:val="0"/>
              <w:spacing w:before="0" w:after="283"/>
              <w:jc w:val="left"/>
              <w:rPr/>
            </w:pPr>
            <w:r>
              <w:rPr/>
              <w:t>99.1</w:t>
            </w:r>
          </w:p>
        </w:tc>
        <w:tc>
          <w:tcPr>
            <w:tcW w:w="657" w:type="dxa"/>
            <w:tcBorders/>
            <w:vAlign w:val="bottom"/>
          </w:tcPr>
          <w:p>
            <w:pPr>
              <w:pStyle w:val="TableContents"/>
              <w:bidi w:val="0"/>
              <w:spacing w:before="0" w:after="283"/>
              <w:jc w:val="left"/>
              <w:rPr/>
            </w:pPr>
            <w:r>
              <w:rPr/>
              <w:t>  </w:t>
            </w:r>
          </w:p>
        </w:tc>
        <w:tc>
          <w:tcPr>
            <w:tcW w:w="8332" w:type="dxa"/>
            <w:tcBorders/>
          </w:tcPr>
          <w:p>
            <w:pPr>
              <w:pStyle w:val="TableContents"/>
              <w:bidi w:val="0"/>
              <w:spacing w:before="0" w:after="283"/>
              <w:jc w:val="left"/>
              <w:rPr/>
            </w:pPr>
            <w:hyperlink w:anchor="d171419dex991.htm">
              <w:r>
                <w:rPr>
                  <w:rStyle w:val="InternetLink"/>
                </w:rPr>
                <w:t xml:space="preserve">Supplemental Disclosure—Reconciliation Between U.S. GAAP and IFRS Accounting Standards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TRIP.COM GROUP LIMITED</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Cindy Xiaofan Wang</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Cindy Xiaofan Wang</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16, 2026 </w:t>
      </w:r>
    </w:p>
    <w:p>
      <w:pPr>
        <w:pStyle w:val="TextBody"/>
        <w:bidi w:val="0"/>
        <w:spacing w:before="0" w:after="0"/>
        <w:jc w:val="right"/>
        <w:rPr>
          <w:rFonts w:ascii="Times New Roman" w:hAnsi="Times New Roman"/>
          <w:b/>
          <w:sz w:val="20"/>
        </w:rPr>
      </w:pPr>
      <w:bookmarkStart w:id="2" w:name="d171419dex991.htm"/>
      <w:bookmarkStart w:id="3" w:name="ksd17141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RECONCILIATION BETWEEN U.S. GAAP AND IFRS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consolidated statements of income for the six months ended June 30, 2026 and the unaudited consolidated balance sheet as of June 30, 2026 (collectively, the “Unaudited Interim Financial Statements”) of Trip.com Group Limited (the “Company”), its subsidiaries, the variable interest entities, and the subsidiaries of the variable interest entities (collectively, the “Group”) are prepared in accordance with the accounting principles generally accepted in the United States of America (the “U.S. GAAP”), and the differences between U.S. GAAP and the International Financial Reporting Standards (the “IFRS Accounting Standards”) issued by the International Accounting Standards Board (together, the “Reconciliation Statement”) have been disclosed in the Appendix – Reconciliation Between U.S. GAAP and IFRS Accounting Standards attached herein. </w:t>
      </w:r>
    </w:p>
    <w:p>
      <w:pPr>
        <w:pStyle w:val="TextBody"/>
        <w:bidi w:val="0"/>
        <w:spacing w:before="240" w:after="0"/>
        <w:jc w:val="left"/>
        <w:rPr>
          <w:rFonts w:ascii="Times New Roman" w:hAnsi="Times New Roman"/>
          <w:sz w:val="20"/>
        </w:rPr>
      </w:pPr>
      <w:r>
        <w:rPr>
          <w:rFonts w:ascii="Times New Roman" w:hAnsi="Times New Roman"/>
          <w:sz w:val="20"/>
        </w:rPr>
        <w:t xml:space="preserve">PricewaterhouseCoopers, the auditor of the Company in Hong Kong, has performed a limited assurance engagement on the Reconciliation Statement in accordance with International Standard on Assurance Engagements 3000 (Revised) “Assurance Engagements Other Than Audits or Reviews of Historical Financial Information” issued by the International Auditing and Assurance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Appendix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Financial Statements of the Group are prepared in accordance with U.S. GAAP, which differ in certain respects from IFRS Accounting Standards. The effects of material differences between the Unaudited Interim Financial Statements prepared under U.S. GAAP and IFRS Accounting Standards are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of unaudited consolidated statements of income </w:t>
      </w:r>
    </w:p>
    <w:p>
      <w:pPr>
        <w:pStyle w:val="TextBody"/>
        <w:bidi w:val="0"/>
        <w:spacing w:before="0" w:after="0"/>
        <w:jc w:val="left"/>
        <w:rPr/>
      </w:pPr>
      <w:r>
        <w:rPr/>
        <w:t> </w:t>
      </w:r>
    </w:p>
    <w:tbl>
      <w:tblPr>
        <w:tblW w:w="15115" w:type="dxa"/>
        <w:jc w:val="center"/>
        <w:tblInd w:w="0" w:type="dxa"/>
        <w:tblLayout w:type="fixed"/>
        <w:tblCellMar>
          <w:top w:w="0" w:type="dxa"/>
          <w:left w:w="0" w:type="dxa"/>
          <w:bottom w:w="0" w:type="dxa"/>
          <w:right w:w="0" w:type="dxa"/>
        </w:tblCellMar>
      </w:tblPr>
      <w:tblGrid>
        <w:gridCol w:w="1190"/>
        <w:gridCol w:w="60"/>
        <w:gridCol w:w="105"/>
        <w:gridCol w:w="1115"/>
        <w:gridCol w:w="155"/>
        <w:gridCol w:w="60"/>
        <w:gridCol w:w="164"/>
        <w:gridCol w:w="1251"/>
        <w:gridCol w:w="155"/>
        <w:gridCol w:w="60"/>
        <w:gridCol w:w="105"/>
        <w:gridCol w:w="590"/>
        <w:gridCol w:w="155"/>
        <w:gridCol w:w="60"/>
        <w:gridCol w:w="293"/>
        <w:gridCol w:w="1272"/>
        <w:gridCol w:w="155"/>
        <w:gridCol w:w="60"/>
        <w:gridCol w:w="183"/>
        <w:gridCol w:w="1022"/>
        <w:gridCol w:w="155"/>
        <w:gridCol w:w="60"/>
        <w:gridCol w:w="240"/>
        <w:gridCol w:w="1040"/>
        <w:gridCol w:w="60"/>
        <w:gridCol w:w="60"/>
        <w:gridCol w:w="118"/>
        <w:gridCol w:w="1102"/>
        <w:gridCol w:w="60"/>
        <w:gridCol w:w="60"/>
        <w:gridCol w:w="175"/>
        <w:gridCol w:w="760"/>
        <w:gridCol w:w="60"/>
        <w:gridCol w:w="60"/>
        <w:gridCol w:w="256"/>
        <w:gridCol w:w="1114"/>
        <w:gridCol w:w="60"/>
        <w:gridCol w:w="60"/>
        <w:gridCol w:w="107"/>
        <w:gridCol w:w="1143"/>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0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0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IFRS Accounting Standards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 as</w:t>
              <w:br/>
              <w:t>reported</w:t>
              <w:br/>
              <w:t>under U.S.</w:t>
              <w:b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Share-</w:t>
            </w:r>
            <w:r>
              <w:rPr/>
              <w:br/>
            </w:r>
            <w:r>
              <w:rPr>
                <w:b/>
              </w:rPr>
              <w:t>based</w:t>
              <w:br/>
              <w:t>compensation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Leases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securities</w:t>
              <w:br/>
              <w:t>without readily</w:t>
              <w:br/>
              <w:t>determinable</w:t>
              <w:br/>
              <w:t xml:space="preserve">fair values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method</w:t>
              <w:br/>
              <w:t>investments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Available-</w:t>
            </w:r>
            <w:r>
              <w:rPr/>
              <w:br/>
            </w:r>
            <w:r>
              <w:rPr>
                <w:b/>
              </w:rPr>
              <w:t>for-sale debt</w:t>
              <w:br/>
              <w:t>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Software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Business</w:t>
              <w:br/>
              <w:t>combinations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w:t>
              <w:br/>
              <w:t>under IFRS</w:t>
              <w:br/>
              <w:t>Accounting</w:t>
              <w:br/>
              <w:t>Standards</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pPr>
            <w:r>
              <w:rPr/>
              <w:t>Note(i)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pPr>
            <w:r>
              <w:rPr/>
              <w:t>Note(ii)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pPr>
            <w:r>
              <w:rPr/>
              <w:t>Note(iii)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center"/>
              <w:rPr/>
            </w:pPr>
            <w:r>
              <w:rPr/>
              <w:t>Note(iv)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Note(v)</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Note(vi)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Note(vii)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Note(viii)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10" w:type="dxa"/>
            <w:gridSpan w:val="38"/>
            <w:tcBorders/>
            <w:vAlign w:val="bottom"/>
          </w:tcPr>
          <w:p>
            <w:pPr>
              <w:pStyle w:val="TableContents"/>
              <w:bidi w:val="0"/>
              <w:spacing w:before="0" w:after="283"/>
              <w:jc w:val="center"/>
              <w:rPr/>
            </w:pPr>
            <w:r>
              <w:rPr/>
              <w:t>RMB (in millions)</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development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(7,854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(7,930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(7,588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(7,600</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(7,510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b/>
              </w:rPr>
            </w:pPr>
            <w:r>
              <w:rPr>
                <w:b/>
              </w:rPr>
              <w:t>2,483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(143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b/>
              </w:rPr>
            </w:pPr>
            <w:r>
              <w:rPr>
                <w:b/>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b/>
              </w:rPr>
            </w:pPr>
            <w:r>
              <w:rPr>
                <w:b/>
              </w:rPr>
              <w:t>2,341</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(179</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changes on investments measured at fair value through profit or loss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changes of convertible senior notes</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2,602</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Income/(loss) before income tax expense and equity in loss of affiliates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b/>
              </w:rPr>
            </w:pPr>
            <w:r>
              <w:rPr>
                <w:b/>
              </w:rPr>
              <w:t>2,353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(143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b/>
              </w:rPr>
            </w:pPr>
            <w:r>
              <w:rPr>
                <w:b/>
              </w:rPr>
              <w:t>(17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b/>
              </w:rPr>
            </w:pPr>
            <w:r>
              <w:rPr>
                <w:b/>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2,666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b/>
              </w:rPr>
            </w:pPr>
            <w:r>
              <w:rPr>
                <w:b/>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b/>
              </w:rPr>
            </w:pPr>
            <w:r>
              <w:rPr>
                <w:b/>
              </w:rPr>
              <w:t>4,869</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(1,692</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Equity in loss of affiliates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(602</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income/(loss)</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(17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b/>
              </w:rPr>
            </w:pPr>
            <w:r>
              <w:rPr>
                <w:b/>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b/>
              </w:rPr>
            </w:pPr>
            <w:r>
              <w:rPr>
                <w:b/>
              </w:rPr>
              <w:t>2,666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b/>
              </w:rPr>
            </w:pPr>
            <w:r>
              <w:rPr>
                <w:b/>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2,575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5115" w:type="dxa"/>
        <w:jc w:val="center"/>
        <w:tblInd w:w="0" w:type="dxa"/>
        <w:tblLayout w:type="fixed"/>
        <w:tblCellMar>
          <w:top w:w="0" w:type="dxa"/>
          <w:left w:w="0" w:type="dxa"/>
          <w:bottom w:w="0" w:type="dxa"/>
          <w:right w:w="0" w:type="dxa"/>
        </w:tblCellMar>
      </w:tblPr>
      <w:tblGrid>
        <w:gridCol w:w="1190"/>
        <w:gridCol w:w="60"/>
        <w:gridCol w:w="98"/>
        <w:gridCol w:w="1122"/>
        <w:gridCol w:w="155"/>
        <w:gridCol w:w="60"/>
        <w:gridCol w:w="164"/>
        <w:gridCol w:w="1251"/>
        <w:gridCol w:w="155"/>
        <w:gridCol w:w="60"/>
        <w:gridCol w:w="105"/>
        <w:gridCol w:w="590"/>
        <w:gridCol w:w="155"/>
        <w:gridCol w:w="60"/>
        <w:gridCol w:w="293"/>
        <w:gridCol w:w="1272"/>
        <w:gridCol w:w="155"/>
        <w:gridCol w:w="60"/>
        <w:gridCol w:w="225"/>
        <w:gridCol w:w="980"/>
        <w:gridCol w:w="155"/>
        <w:gridCol w:w="60"/>
        <w:gridCol w:w="240"/>
        <w:gridCol w:w="1040"/>
        <w:gridCol w:w="60"/>
        <w:gridCol w:w="60"/>
        <w:gridCol w:w="118"/>
        <w:gridCol w:w="1102"/>
        <w:gridCol w:w="60"/>
        <w:gridCol w:w="60"/>
        <w:gridCol w:w="175"/>
        <w:gridCol w:w="760"/>
        <w:gridCol w:w="60"/>
        <w:gridCol w:w="60"/>
        <w:gridCol w:w="256"/>
        <w:gridCol w:w="1114"/>
        <w:gridCol w:w="60"/>
        <w:gridCol w:w="60"/>
        <w:gridCol w:w="101"/>
        <w:gridCol w:w="1149"/>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0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0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IFRS Accounting Standards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 as</w:t>
              <w:br/>
              <w:t>reported</w:t>
              <w:br/>
              <w:t>under U.S.</w:t>
              <w:b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Share-</w:t>
            </w:r>
            <w:r>
              <w:rPr/>
              <w:br/>
            </w:r>
            <w:r>
              <w:rPr>
                <w:b/>
              </w:rPr>
              <w:t>based</w:t>
              <w:br/>
              <w:t>compensation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Leases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securities</w:t>
              <w:br/>
              <w:t>without readily</w:t>
              <w:br/>
              <w:t>determinable</w:t>
              <w:br/>
              <w:t xml:space="preserve">fair values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method</w:t>
              <w:br/>
              <w:t>investments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Available-</w:t>
            </w:r>
            <w:r>
              <w:rPr/>
              <w:br/>
            </w:r>
            <w:r>
              <w:rPr>
                <w:b/>
              </w:rPr>
              <w:t>for-sale debt</w:t>
              <w:br/>
              <w:t>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Software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Business</w:t>
              <w:br/>
              <w:t>combinations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w:t>
              <w:br/>
              <w:t>under IFRS</w:t>
              <w:br/>
              <w:t>Accounting</w:t>
              <w:br/>
              <w:t>Standards</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pPr>
            <w:r>
              <w:rPr/>
              <w:t>Note(i)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pPr>
            <w:r>
              <w:rPr/>
              <w:t>Note(ii)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pPr>
            <w:r>
              <w:rPr/>
              <w:t>Note(iii)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center"/>
              <w:rPr/>
            </w:pPr>
            <w:r>
              <w:rPr/>
              <w:t>Note(iv)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Note(v)</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Note(vi)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Note(vii)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Note(viii)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10" w:type="dxa"/>
            <w:gridSpan w:val="38"/>
            <w:tcBorders/>
            <w:vAlign w:val="bottom"/>
          </w:tcPr>
          <w:p>
            <w:pPr>
              <w:pStyle w:val="TableContents"/>
              <w:bidi w:val="0"/>
              <w:spacing w:before="0" w:after="283"/>
              <w:jc w:val="center"/>
              <w:rPr/>
            </w:pPr>
            <w:r>
              <w:rPr/>
              <w:t>RMB (in millions)</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development</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(7,106</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(6,340</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(2,135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(2,195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7,665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(177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b/>
              </w:rPr>
            </w:pPr>
            <w:r>
              <w:rPr>
                <w:b/>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7,509</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changes on investments measured at fair value through profit or loss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changes of convertible senior notes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1,284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Income/(loss) before income tax expense and equity in income/(loss) of affiliates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b/>
              </w:rPr>
            </w:pPr>
            <w:r>
              <w:rPr>
                <w:b/>
              </w:rPr>
              <w:t>10,614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b/>
              </w:rPr>
            </w:pPr>
            <w:r>
              <w:rPr>
                <w:b/>
              </w:rPr>
              <w:t>(177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b/>
              </w:rPr>
            </w:pPr>
            <w:r>
              <w:rPr>
                <w:b/>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1,351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b/>
              </w:rPr>
            </w:pPr>
            <w:r>
              <w:rPr>
                <w:b/>
              </w:rPr>
              <w:t>11,839</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(1,636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(1,637</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Equity in income/(loss) of affiliates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income/(loss)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b/>
              </w:rPr>
            </w:pPr>
            <w:r>
              <w:rPr>
                <w:b/>
              </w:rPr>
              <w:t>9,194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b/>
              </w:rPr>
            </w:pPr>
            <w:r>
              <w:rPr>
                <w:b/>
              </w:rPr>
              <w:t>1,351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b/>
              </w:rPr>
            </w:pPr>
            <w:r>
              <w:rPr>
                <w:b/>
              </w:rPr>
              <w:t>10,417</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of unaudited consolidated balance sheets </w:t>
      </w:r>
    </w:p>
    <w:p>
      <w:pPr>
        <w:pStyle w:val="TextBody"/>
        <w:bidi w:val="0"/>
        <w:spacing w:before="0" w:after="0"/>
        <w:jc w:val="left"/>
        <w:rPr/>
      </w:pPr>
      <w:r>
        <w:rPr/>
        <w:t> </w:t>
      </w:r>
    </w:p>
    <w:tbl>
      <w:tblPr>
        <w:tblW w:w="14965" w:type="dxa"/>
        <w:jc w:val="center"/>
        <w:tblInd w:w="0" w:type="dxa"/>
        <w:tblLayout w:type="fixed"/>
        <w:tblCellMar>
          <w:top w:w="0" w:type="dxa"/>
          <w:left w:w="0" w:type="dxa"/>
          <w:bottom w:w="0" w:type="dxa"/>
          <w:right w:w="0" w:type="dxa"/>
        </w:tblCellMar>
      </w:tblPr>
      <w:tblGrid>
        <w:gridCol w:w="1040"/>
        <w:gridCol w:w="60"/>
        <w:gridCol w:w="85"/>
        <w:gridCol w:w="1135"/>
        <w:gridCol w:w="60"/>
        <w:gridCol w:w="60"/>
        <w:gridCol w:w="265"/>
        <w:gridCol w:w="1150"/>
        <w:gridCol w:w="60"/>
        <w:gridCol w:w="60"/>
        <w:gridCol w:w="80"/>
        <w:gridCol w:w="615"/>
        <w:gridCol w:w="155"/>
        <w:gridCol w:w="60"/>
        <w:gridCol w:w="182"/>
        <w:gridCol w:w="1383"/>
        <w:gridCol w:w="155"/>
        <w:gridCol w:w="60"/>
        <w:gridCol w:w="164"/>
        <w:gridCol w:w="1041"/>
        <w:gridCol w:w="60"/>
        <w:gridCol w:w="60"/>
        <w:gridCol w:w="110"/>
        <w:gridCol w:w="1170"/>
        <w:gridCol w:w="155"/>
        <w:gridCol w:w="60"/>
        <w:gridCol w:w="185"/>
        <w:gridCol w:w="1035"/>
        <w:gridCol w:w="155"/>
        <w:gridCol w:w="60"/>
        <w:gridCol w:w="108"/>
        <w:gridCol w:w="827"/>
        <w:gridCol w:w="155"/>
        <w:gridCol w:w="60"/>
        <w:gridCol w:w="159"/>
        <w:gridCol w:w="1211"/>
        <w:gridCol w:w="155"/>
        <w:gridCol w:w="60"/>
        <w:gridCol w:w="87"/>
        <w:gridCol w:w="11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IFRS Accounting Standards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 as</w:t>
              <w:br/>
              <w:t>reported</w:t>
              <w:br/>
              <w:t>under U.S.</w:t>
              <w:br/>
              <w:t>GAAP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Share-</w:t>
            </w:r>
            <w:r>
              <w:rPr/>
              <w:br/>
            </w:r>
            <w:r>
              <w:rPr>
                <w:b/>
              </w:rPr>
              <w:t>based</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Leases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securities</w:t>
              <w:br/>
              <w:t>without readily</w:t>
              <w:br/>
              <w:t>determinable</w:t>
              <w:br/>
              <w:t xml:space="preserve">fair values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method</w:t>
              <w:br/>
              <w:t>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Available-</w:t>
            </w:r>
            <w:r>
              <w:rPr/>
              <w:br/>
            </w:r>
            <w:r>
              <w:rPr>
                <w:b/>
              </w:rPr>
              <w:t>for-sale debt</w:t>
              <w:br/>
              <w:t>investments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Software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Business</w:t>
              <w:br/>
              <w:t>combinations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w:t>
              <w:br/>
              <w:t>under IFRS</w:t>
              <w:br/>
              <w:t>Accounting</w:t>
              <w:br/>
              <w:t>Standards</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pPr>
            <w:r>
              <w:rPr/>
              <w:t>Note(i)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pPr>
            <w:r>
              <w:rPr/>
              <w:t>Note(ii)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pPr>
            <w:r>
              <w:rPr/>
              <w:t>Note(iii)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center"/>
              <w:rPr/>
            </w:pPr>
            <w:r>
              <w:rPr/>
              <w:t>Note(iv)</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Note(v)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Note(vi)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Note(vii)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Note(viii)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05" w:type="dxa"/>
            <w:gridSpan w:val="38"/>
            <w:tcBorders/>
            <w:vAlign w:val="bottom"/>
          </w:tcPr>
          <w:p>
            <w:pPr>
              <w:pStyle w:val="TableContents"/>
              <w:bidi w:val="0"/>
              <w:spacing w:before="0" w:after="283"/>
              <w:jc w:val="center"/>
              <w:rPr/>
            </w:pPr>
            <w:r>
              <w:rPr/>
              <w:t>RMB (in millions)</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and land use rights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12,947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13,000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Property, equipment and software</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5,767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5,565</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51,361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(1,402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49,875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measured at fair value through profit or loss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431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1,402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1,833</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62,196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61,983</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889</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259,089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(114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248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(213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259,109</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 and current portion of long-term debt</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25,767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25,679</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25,750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25,745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4,233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4,245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98,285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b/>
              </w:rPr>
            </w:pPr>
            <w:r>
              <w:rPr>
                <w:b/>
              </w:rPr>
              <w:t>(93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98,204</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160,804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(114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b/>
              </w:rPr>
            </w:pPr>
            <w:r>
              <w:rPr>
                <w:b/>
              </w:rPr>
              <w:t>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248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(213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b/>
              </w:rPr>
            </w:pPr>
            <w:r>
              <w:rPr>
                <w:b/>
              </w:rPr>
              <w:t>160,905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4965" w:type="dxa"/>
        <w:jc w:val="center"/>
        <w:tblInd w:w="0" w:type="dxa"/>
        <w:tblLayout w:type="fixed"/>
        <w:tblCellMar>
          <w:top w:w="0" w:type="dxa"/>
          <w:left w:w="0" w:type="dxa"/>
          <w:bottom w:w="0" w:type="dxa"/>
          <w:right w:w="0" w:type="dxa"/>
        </w:tblCellMar>
      </w:tblPr>
      <w:tblGrid>
        <w:gridCol w:w="1040"/>
        <w:gridCol w:w="60"/>
        <w:gridCol w:w="85"/>
        <w:gridCol w:w="1135"/>
        <w:gridCol w:w="60"/>
        <w:gridCol w:w="60"/>
        <w:gridCol w:w="265"/>
        <w:gridCol w:w="1150"/>
        <w:gridCol w:w="60"/>
        <w:gridCol w:w="60"/>
        <w:gridCol w:w="80"/>
        <w:gridCol w:w="615"/>
        <w:gridCol w:w="155"/>
        <w:gridCol w:w="60"/>
        <w:gridCol w:w="182"/>
        <w:gridCol w:w="1383"/>
        <w:gridCol w:w="155"/>
        <w:gridCol w:w="60"/>
        <w:gridCol w:w="164"/>
        <w:gridCol w:w="1041"/>
        <w:gridCol w:w="60"/>
        <w:gridCol w:w="60"/>
        <w:gridCol w:w="149"/>
        <w:gridCol w:w="1131"/>
        <w:gridCol w:w="155"/>
        <w:gridCol w:w="60"/>
        <w:gridCol w:w="105"/>
        <w:gridCol w:w="1115"/>
        <w:gridCol w:w="155"/>
        <w:gridCol w:w="60"/>
        <w:gridCol w:w="108"/>
        <w:gridCol w:w="827"/>
        <w:gridCol w:w="155"/>
        <w:gridCol w:w="60"/>
        <w:gridCol w:w="159"/>
        <w:gridCol w:w="1211"/>
        <w:gridCol w:w="155"/>
        <w:gridCol w:w="60"/>
        <w:gridCol w:w="87"/>
        <w:gridCol w:w="11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IFRS Accounting Standards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 as</w:t>
              <w:br/>
              <w:t>reported</w:t>
              <w:br/>
              <w:t>under U.S.</w:t>
              <w:br/>
              <w:t>GAAP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Share-</w:t>
            </w:r>
            <w:r>
              <w:rPr/>
              <w:br/>
            </w:r>
            <w:r>
              <w:rPr>
                <w:b/>
              </w:rPr>
              <w:t>based</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Leases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securities</w:t>
              <w:br/>
              <w:t>without readily</w:t>
              <w:br/>
              <w:t>determinable</w:t>
              <w:br/>
              <w:t xml:space="preserve">fair values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method</w:t>
              <w:br/>
              <w:t>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Available-</w:t>
            </w:r>
            <w:r>
              <w:rPr/>
              <w:br/>
            </w:r>
            <w:r>
              <w:rPr>
                <w:b/>
              </w:rPr>
              <w:t>for-sale debt</w:t>
              <w:br/>
              <w:t>investments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Software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Business</w:t>
              <w:br/>
              <w:t>combinations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Amounts</w:t>
              <w:br/>
              <w:t>under IFRS</w:t>
              <w:br/>
              <w:t>Accounting</w:t>
              <w:br/>
              <w:t>Standards</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pPr>
            <w:r>
              <w:rPr/>
              <w:t>Note(i)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pPr>
            <w:r>
              <w:rPr/>
              <w:t>Note(ii)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pPr>
            <w:r>
              <w:rPr/>
              <w:t>Note(iii)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center"/>
              <w:rPr/>
            </w:pPr>
            <w:r>
              <w:rPr/>
              <w:t>Note(iv)</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pPr>
            <w:r>
              <w:rPr/>
              <w:t>Note(v)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Note(vi)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Note(vii)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pPr>
            <w:r>
              <w:rPr/>
              <w:t>Note(viii)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05" w:type="dxa"/>
            <w:gridSpan w:val="38"/>
            <w:tcBorders/>
            <w:vAlign w:val="bottom"/>
          </w:tcPr>
          <w:p>
            <w:pPr>
              <w:pStyle w:val="TableContents"/>
              <w:bidi w:val="0"/>
              <w:spacing w:before="0" w:after="283"/>
              <w:jc w:val="center"/>
              <w:rPr/>
            </w:pPr>
            <w:r>
              <w:rPr/>
              <w:t>RMB (in millions)</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and Land use rights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13,013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13,050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Property, equipment and software</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5,445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5,257</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61,375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(970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60,336</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measured at fair value through profit or loss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435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1,405</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62,268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62,055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881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935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267,387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(97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(213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267,443</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9,897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9,892</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11,430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14,014</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3,961</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94,787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2,579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97,378</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172,600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(97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b/>
              </w:rPr>
            </w:pPr>
            <w:r>
              <w:rPr>
                <w:b/>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b/>
              </w:rPr>
            </w:pPr>
            <w:r>
              <w:rPr>
                <w:b/>
              </w:rPr>
              <w:t>(2,579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(213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b/>
              </w:rPr>
            </w:pPr>
            <w:r>
              <w:rPr>
                <w:b/>
              </w:rPr>
              <w:t>170,065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Basis of Preparation </w:t>
      </w:r>
    </w:p>
    <w:p>
      <w:pPr>
        <w:pStyle w:val="TextBody"/>
        <w:bidi w:val="0"/>
        <w:spacing w:before="120" w:after="0"/>
        <w:jc w:val="left"/>
        <w:rPr>
          <w:rFonts w:ascii="Times New Roman" w:hAnsi="Times New Roman"/>
          <w:sz w:val="20"/>
        </w:rPr>
      </w:pPr>
      <w:r>
        <w:rPr>
          <w:rFonts w:ascii="Times New Roman" w:hAnsi="Times New Roman"/>
          <w:sz w:val="20"/>
        </w:rPr>
        <w:t xml:space="preserve">The Directors of the Company are responsible for preparation of the Reconciliation Statement in accordance with the relevant requirements of the Hong Kong Listing Rules and relevant guidance in HKEX-GL111-22. The Reconciliation Statement was prepared based on the Group’s Unaudited Interim Financial Statements prepared under U.S. GAAP, with adjustments made (if any) thereto in arriving at the unaudited financial information of the Group prepared under IFRS Accounting Standards. The adjustments reflect the differences between the Group’s accounting policies under U.S. GAAP and IFRS Accounting Standards. </w:t>
      </w:r>
    </w:p>
    <w:p>
      <w:pPr>
        <w:pStyle w:val="TextBody"/>
        <w:bidi w:val="0"/>
        <w:spacing w:before="160" w:after="0"/>
        <w:jc w:val="left"/>
        <w:rPr>
          <w:rFonts w:ascii="Times New Roman" w:hAnsi="Times New Roman"/>
          <w:sz w:val="20"/>
        </w:rPr>
      </w:pPr>
      <w:r>
        <w:rPr>
          <w:rFonts w:ascii="Times New Roman" w:hAnsi="Times New Roman"/>
          <w:sz w:val="20"/>
        </w:rPr>
        <w:t xml:space="preserve">(i) 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Company has elected to recognize compensation expense using the straight-line method for all employee equity awards granted with graded vesting over the requisite service period.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the graded vesting method is required to recognize compensation expense for all employee equity awards granted with graded vesting. </w:t>
      </w:r>
    </w:p>
    <w:p>
      <w:pPr>
        <w:pStyle w:val="TextBody"/>
        <w:bidi w:val="0"/>
        <w:spacing w:before="120" w:after="0"/>
        <w:jc w:val="left"/>
        <w:rPr>
          <w:rFonts w:ascii="Times New Roman" w:hAnsi="Times New Roman"/>
          <w:sz w:val="20"/>
        </w:rPr>
      </w:pPr>
      <w:r>
        <w:rPr>
          <w:rFonts w:ascii="Times New Roman" w:hAnsi="Times New Roman"/>
          <w:sz w:val="20"/>
        </w:rPr>
        <w:t xml:space="preserve">(ii) Leases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for operating leases, the amortization of right-of-use assets and the interest expense element of lease liabilities are recorded together as lease expenses, which are measured on a straight-line basis and are recorded in the consolidated statements of income/(loss).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the right-of-use assets are generally depreciated on a straight-line basis while the interest expense related to the lease liabilities are measured under the effective interest method, which results in higher expenses at the beginning of the lease term and lower expenses near the end of the lease term. </w:t>
      </w:r>
    </w:p>
    <w:p>
      <w:pPr>
        <w:pStyle w:val="TextBody"/>
        <w:bidi w:val="0"/>
        <w:spacing w:before="120" w:after="0"/>
        <w:jc w:val="left"/>
        <w:rPr>
          <w:rFonts w:ascii="Times New Roman" w:hAnsi="Times New Roman"/>
          <w:sz w:val="20"/>
        </w:rPr>
      </w:pPr>
      <w:r>
        <w:rPr>
          <w:rFonts w:ascii="Times New Roman" w:hAnsi="Times New Roman"/>
          <w:sz w:val="20"/>
        </w:rPr>
        <w:t xml:space="preserve">(iii) Equity securities without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Company elected to measure an equity security without a readily determinable fair value using a measurement alternative that measures the securities at cost minus impairment, if any, plus or minus changes resulting from qualifying observable price changes reported in the profit or loss.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the Company measured the investments in equity instruments at fair value through profit or loss (FVTPL). Fair value changes of these investments are recognized in the profit or loss. </w:t>
      </w:r>
    </w:p>
    <w:p>
      <w:pPr>
        <w:pStyle w:val="TextBody"/>
        <w:bidi w:val="0"/>
        <w:spacing w:before="120" w:after="0"/>
        <w:jc w:val="left"/>
        <w:rPr>
          <w:rFonts w:ascii="Times New Roman" w:hAnsi="Times New Roman"/>
          <w:sz w:val="20"/>
        </w:rPr>
      </w:pPr>
      <w:r>
        <w:rPr>
          <w:rFonts w:ascii="Times New Roman" w:hAnsi="Times New Roman"/>
          <w:sz w:val="20"/>
        </w:rPr>
        <w:t xml:space="preserve">(iv) 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and IFRS Accounting Standards, the investor should adjust the results of its associates to align the investee’s accounting policies with its own policies. The reconciliation items mainly arise from different accounting the associates applied under each GAAP. </w:t>
      </w:r>
    </w:p>
    <w:p>
      <w:pPr>
        <w:pStyle w:val="TextBody"/>
        <w:bidi w:val="0"/>
        <w:spacing w:before="120" w:after="0"/>
        <w:jc w:val="left"/>
        <w:rPr>
          <w:rFonts w:ascii="Times New Roman" w:hAnsi="Times New Roman"/>
          <w:sz w:val="20"/>
        </w:rPr>
      </w:pPr>
      <w:r>
        <w:rPr>
          <w:rFonts w:ascii="Times New Roman" w:hAnsi="Times New Roman"/>
          <w:sz w:val="20"/>
        </w:rPr>
        <w:t xml:space="preserve">(v) Available-for-sale debt investments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available-for-sale debt investments classified within Level 3 are valued based on a model utilizing unobservable inputs which require significant management judgment and estimation. The Company reports available-for-sale debt investments at fair value at each balance sheet date with the aggregate unrealized gains and losses, net of tax, reflected in “Accumulated other comprehensive loss” in the consolidated balance sheets. Upon sale, realized gains and losses are reported in net income.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since those investments do not meet the definition of the equity instrument from the perspective of issuer, and the contractual cashflow could not pass the Solely Payments of Principal and Interest (the “SPPI”) test, thus they are required to be classified as financial assets measured at fair value with fair value changes recognized in the profit or loss. </w:t>
      </w:r>
    </w:p>
    <w:p>
      <w:pPr>
        <w:pStyle w:val="TextBody"/>
        <w:bidi w:val="0"/>
        <w:spacing w:before="120" w:after="0"/>
        <w:jc w:val="left"/>
        <w:rPr>
          <w:rFonts w:ascii="Times New Roman" w:hAnsi="Times New Roman"/>
          <w:sz w:val="20"/>
        </w:rPr>
      </w:pPr>
      <w:r>
        <w:rPr>
          <w:rFonts w:ascii="Times New Roman" w:hAnsi="Times New Roman"/>
          <w:sz w:val="20"/>
        </w:rPr>
        <w:t xml:space="preserve">(vi) Convertible senior notes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Company’s convertible notes are elected to be measured at amortized cost, with any difference between the initial carrying value and the repayment amount recognized as interest expense using effective interest method over the period from issuance date to maturity date.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the Company’s convertible notes are designated as at fair value through profit or loss such that the convertible notes are initially recognized at fair value. Subsequent to initial recognition, the amounts of changes in fair value of the convertible notes that are attributed to changes in own credit risk are presented in other comprehensive income and the remaining fair value changes are presented in the profit or loss.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Software </w:t>
      </w:r>
    </w:p>
    <w:p>
      <w:pPr>
        <w:pStyle w:val="TextBody"/>
        <w:bidi w:val="0"/>
        <w:spacing w:before="120" w:after="0"/>
        <w:jc w:val="left"/>
        <w:rPr>
          <w:rFonts w:ascii="Times New Roman" w:hAnsi="Times New Roman"/>
          <w:sz w:val="20"/>
        </w:rPr>
      </w:pPr>
      <w:r>
        <w:rPr>
          <w:rFonts w:ascii="Times New Roman" w:hAnsi="Times New Roman"/>
          <w:sz w:val="20"/>
        </w:rPr>
        <w:t xml:space="preserve">Under U.S. GAAP, software is reported under property, equipment and software.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software is reported under the intangible asset category. Accordingly, software is reclassified from property, equipment and software to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(viii)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In 2025, the Company acquired a majority equity interest in a company (the “acquiree”). Under the terms of the transaction agreements, the Company is also obligated to purchase a portion of the remaining equity interest (the “Equity Interest”) of the acquiree on a specified date (or earlier if triggered by certain events) at a price determined by a predetermined formula (the “Purchase Obligation”). </w:t>
      </w:r>
    </w:p>
    <w:p>
      <w:pPr>
        <w:pStyle w:val="TextBody"/>
        <w:bidi w:val="0"/>
        <w:spacing w:before="120" w:after="0"/>
        <w:jc w:val="left"/>
        <w:rPr>
          <w:rFonts w:ascii="Times New Roman" w:hAnsi="Times New Roman"/>
          <w:sz w:val="20"/>
        </w:rPr>
      </w:pPr>
      <w:r>
        <w:rPr>
          <w:rFonts w:ascii="Times New Roman" w:hAnsi="Times New Roman"/>
          <w:sz w:val="20"/>
        </w:rPr>
        <w:t xml:space="preserve">Under US GAAP, given that the purchase obligation is certain to occur and bundled with the acquisition, the Equity Interest was not recognized as a non-controlling interest, instead the related Purchase Obligation was recognized as a financial liability at the acquisition date and subsequently measured at fair value, with fair value changes recognized in the income statement. This financial liability was treated as part of the purchase consideration when applying acquisition accounting. </w:t>
      </w:r>
    </w:p>
    <w:p>
      <w:pPr>
        <w:pStyle w:val="TextBody"/>
        <w:bidi w:val="0"/>
        <w:spacing w:before="120" w:after="0"/>
        <w:jc w:val="left"/>
        <w:rPr>
          <w:rFonts w:ascii="Times New Roman" w:hAnsi="Times New Roman"/>
          <w:sz w:val="20"/>
        </w:rPr>
      </w:pPr>
      <w:r>
        <w:rPr>
          <w:rFonts w:ascii="Times New Roman" w:hAnsi="Times New Roman"/>
          <w:sz w:val="20"/>
        </w:rPr>
        <w:t xml:space="preserve">Under IFRS Accounting Standards, as it is considered that the Company undertakes the obligation to purchase the Equity Interest at fair value, the risk and reward of the shares reside with non-controlling interests. Therefore, the Company recognizes the Equity Interest as non-controlling interest on the acquisition date. IFRS Accounting Standards also requires the Purchase Obligation to be initially recognized as a separate financial liability (with the corresponding amount debited in equity) on the acquisition date, and the Company has elected to record subsequent changes in the carrying amount of the financial liability in equity. The financial liability was not considered as part of the purchase consideration when applying acquisition accounting. The accounting treatment under IFRS Accounting Standards resulted in a lower purchase consideration and therefore, lower goodwill recognized from the acquisition, compared with US GAAP.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2113</Words>
  <Characters>12338</Characters>
  <CharactersWithSpaces>16621</CharactersWithSpaces>
  <Paragraphs>3208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