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8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REGISTRATION STATEMENT PURSUANT TO SECTION 12(b) OR (g) OF THE SECURITIES EXCHANGE ACT OF 1934</w:t>
      </w:r>
    </w:p>
    <w:p>
      <w:pPr>
        <w:spacing w:after="0" w:line="18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4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560"/>
        <w:spacing w:after="0"/>
        <w:tabs>
          <w:tab w:leader="none" w:pos="38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1858645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440" w:hanging="424"/>
        <w:spacing w:after="0" w:line="262" w:lineRule="auto"/>
        <w:tabs>
          <w:tab w:leader="none" w:pos="54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15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Date of event requiring this shell company report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-5080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001-33853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Trip.com Group Limited</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18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30 Raffles Place, #29-01</w:t>
      </w:r>
    </w:p>
    <w:p>
      <w:pPr>
        <w:spacing w:after="0" w:line="3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Singapore 048622</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Jane Jie Sun, Chief Executive Officer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Telephone: +65 3138-9736</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Email: iremail@trip.com</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30 Raffles Place, #29-01</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Singapore 048622</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American depositary shares (each representing</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TCOM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one ordinary share, par value US$0.00125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Ordinary shares, par value US$0.00125 per</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9961</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Stock Exchange of Hong Kong Limited</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50" w:orient="portrait"/>
          <w:cols w:equalWidth="0" w:num="1">
            <w:col w:w="11140"/>
          </w:cols>
          <w:pgMar w:left="320" w:top="225" w:right="4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649,583,574 ordinary shares, par value US$0.00125 per share, as of December 31, 2025.</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Note—Checking the box above will not relieve any registrant required to file reports pursuant to Section 13 or 15(d) of the Securities Exchange Act of 1934 from their obligations under those Sections.</w:t>
      </w:r>
    </w:p>
    <w:p>
      <w:pPr>
        <w:spacing w:after="0" w:line="162" w:lineRule="exact"/>
        <w:rPr>
          <w:sz w:val="20"/>
          <w:szCs w:val="20"/>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“large accelerated filer,” “accelerated filer,” and “emerging growth company” in Rule 12b-2 of the Exchange Act.</w:t>
      </w:r>
    </w:p>
    <w:p>
      <w:pPr>
        <w:sectPr>
          <w:pgSz w:w="11900" w:h="16838" w:orient="portrait"/>
          <w:cols w:equalWidth="0" w:num="1">
            <w:col w:w="11000"/>
          </w:cols>
          <w:pgMar w:left="440" w:top="117" w:right="45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6">
            <w:col w:w="1620" w:space="720"/>
            <w:col w:w="1800" w:space="720"/>
            <w:col w:w="1220" w:space="100"/>
            <w:col w:w="1580" w:space="720"/>
            <w:col w:w="1600" w:space="720"/>
            <w:col w:w="200"/>
          </w:cols>
          <w:pgMar w:left="440" w:top="117" w:right="459" w:bottom="1440" w:gutter="0" w:footer="0" w:header="0"/>
          <w:type w:val="continuous"/>
        </w:sectPr>
      </w:pPr>
    </w:p>
    <w:p>
      <w:pPr>
        <w:spacing w:after="0" w:line="4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0"/>
          <w:szCs w:val="20"/>
          <w:color w:val="auto"/>
        </w:rPr>
      </w:pPr>
    </w:p>
    <w:p>
      <w:pPr>
        <w:sectPr>
          <w:pgSz w:w="11900" w:h="16838" w:orient="portrait"/>
          <w:cols w:equalWidth="0" w:num="2">
            <w:col w:w="10460" w:space="340"/>
            <w:col w:w="200"/>
          </w:cols>
          <w:pgMar w:left="440" w:top="117" w:right="459" w:bottom="1440" w:gutter="0" w:footer="0" w:header="0"/>
          <w:type w:val="continuous"/>
        </w:sectPr>
      </w:pPr>
    </w:p>
    <w:p>
      <w:pPr>
        <w:spacing w:after="0" w:line="25"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00"/>
          </w:cols>
          <w:pgMar w:left="440" w:top="117" w:right="459" w:bottom="1440" w:gutter="0" w:footer="0" w:header="0"/>
          <w:type w:val="continuous"/>
        </w:sectPr>
      </w:pPr>
    </w:p>
    <w:bookmarkStart w:id="2" w:name="page3"/>
    <w:bookmarkEnd w:id="2"/>
    <w:p>
      <w:pPr>
        <w:ind w:left="424" w:right="82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182880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ind w:left="4"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left="4" w:right="1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left="4" w:right="5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024"/>
          </w:cols>
          <w:pgMar w:left="436" w:top="310" w:right="439" w:bottom="1440" w:gutter="0" w:footer="0" w:header="0"/>
        </w:sectPr>
      </w:pPr>
    </w:p>
    <w:p>
      <w:pPr>
        <w:spacing w:after="0" w:line="211" w:lineRule="exact"/>
        <w:rPr>
          <w:sz w:val="20"/>
          <w:szCs w:val="20"/>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International Financial Reporting Standards as issued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99" w:lineRule="exact"/>
        <w:rPr>
          <w:sz w:val="20"/>
          <w:szCs w:val="20"/>
          <w:color w:val="auto"/>
        </w:rPr>
      </w:pPr>
    </w:p>
    <w:p>
      <w:pPr>
        <w:sectPr>
          <w:pgSz w:w="11900" w:h="16838" w:orient="portrait"/>
          <w:cols w:equalWidth="0" w:num="3">
            <w:col w:w="3064" w:space="720"/>
            <w:col w:w="5860" w:space="720"/>
            <w:col w:w="660"/>
          </w:cols>
          <w:pgMar w:left="436" w:top="310" w:right="439" w:bottom="1440" w:gutter="0" w:footer="0" w:header="0"/>
          <w:type w:val="continuous"/>
        </w:sectPr>
      </w:pPr>
    </w:p>
    <w:p>
      <w:pPr>
        <w:ind w:left="3784"/>
        <w:spacing w:after="0"/>
        <w:rPr>
          <w:sz w:val="20"/>
          <w:szCs w:val="20"/>
          <w:color w:val="auto"/>
        </w:rPr>
      </w:pPr>
      <w:r>
        <w:rPr>
          <w:rFonts w:ascii="Times New Roman" w:cs="Times New Roman" w:eastAsia="Times New Roman" w:hAnsi="Times New Roman"/>
          <w:sz w:val="18"/>
          <w:szCs w:val="18"/>
          <w:color w:val="auto"/>
        </w:rPr>
        <w:t>by the International Accounting Standards Board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6" w:lineRule="exact"/>
        <w:rPr>
          <w:sz w:val="20"/>
          <w:szCs w:val="20"/>
          <w:color w:val="auto"/>
        </w:rPr>
      </w:pPr>
    </w:p>
    <w:p>
      <w:pPr>
        <w:sectPr>
          <w:pgSz w:w="11900" w:h="16838" w:orient="portrait"/>
          <w:cols w:equalWidth="0" w:num="2">
            <w:col w:w="7324" w:space="420"/>
            <w:col w:w="3280"/>
          </w:cols>
          <w:pgMar w:left="436" w:top="310" w:right="439" w:bottom="1440" w:gutter="0" w:footer="0" w:header="0"/>
          <w:type w:val="continuous"/>
        </w:sectPr>
      </w:pPr>
    </w:p>
    <w:p>
      <w:pPr>
        <w:ind w:left="4" w:right="320"/>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70" w:lineRule="exact"/>
        <w:rPr>
          <w:sz w:val="20"/>
          <w:szCs w:val="20"/>
          <w:color w:val="auto"/>
        </w:rPr>
      </w:pPr>
    </w:p>
    <w:p>
      <w:pPr>
        <w:ind w:left="4" w:right="960"/>
        <w:spacing w:after="0" w:line="239"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left="4" w:right="5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10"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800" w:type="dxa"/>
            <w:vAlign w:val="bottom"/>
            <w:gridSpan w:val="37"/>
          </w:tcPr>
          <w:p>
            <w:pPr>
              <w:spacing w:after="0" w:line="194" w:lineRule="exact"/>
              <w:rPr>
                <w:sz w:val="20"/>
                <w:szCs w:val="20"/>
                <w:color w:val="auto"/>
              </w:rPr>
            </w:pPr>
            <w:r>
              <w:rPr>
                <w:rFonts w:ascii="Times New Roman" w:cs="Times New Roman" w:eastAsia="Times New Roman" w:hAnsi="Times New Roman"/>
                <w:sz w:val="18"/>
                <w:szCs w:val="18"/>
                <w:color w:val="0000EE"/>
              </w:rPr>
              <w:t>FORWARD-LOOKING STATEMENT</w:t>
            </w:r>
          </w:p>
        </w:tc>
        <w:tc>
          <w:tcPr>
            <w:tcW w:w="11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1"/>
              </w:rPr>
              <w:t>PART I.</w:t>
            </w:r>
          </w:p>
        </w:tc>
        <w:tc>
          <w:tcPr>
            <w:tcW w:w="600" w:type="dxa"/>
            <w:vAlign w:val="bottom"/>
            <w:tcBorders>
              <w:top w:val="single" w:sz="8" w:color="0000EE"/>
            </w:tcBorders>
            <w:gridSpan w:val="4"/>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560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302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6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KEY INFORMATION</w:t>
            </w:r>
          </w:p>
        </w:tc>
        <w:tc>
          <w:tcPr>
            <w:tcW w:w="2360" w:type="dxa"/>
            <w:vAlign w:val="bottom"/>
            <w:tcBorders>
              <w:top w:val="single" w:sz="8" w:color="0000EE"/>
            </w:tcBorders>
            <w:gridSpan w:val="13"/>
          </w:tcPr>
          <w:p>
            <w:pPr>
              <w:spacing w:after="0"/>
              <w:rPr>
                <w:sz w:val="17"/>
                <w:szCs w:val="17"/>
                <w:color w:val="auto"/>
              </w:rPr>
            </w:pPr>
          </w:p>
        </w:tc>
        <w:tc>
          <w:tcPr>
            <w:tcW w:w="4600" w:type="dxa"/>
            <w:vAlign w:val="bottom"/>
            <w:gridSpan w:val="1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8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ON THE COMPANY</w:t>
            </w:r>
          </w:p>
        </w:tc>
        <w:tc>
          <w:tcPr>
            <w:tcW w:w="5740" w:type="dxa"/>
            <w:vAlign w:val="bottom"/>
            <w:gridSpan w:val="1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4A.</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46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3960" w:type="dxa"/>
            <w:vAlign w:val="bottom"/>
            <w:gridSpan w:val="1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53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MAJOR SHAREHOLDERS AND RELATED PARTY TRANSACTIONS</w:t>
            </w:r>
          </w:p>
        </w:tc>
        <w:tc>
          <w:tcPr>
            <w:tcW w:w="324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22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INFORMATION</w:t>
            </w:r>
          </w:p>
        </w:tc>
        <w:tc>
          <w:tcPr>
            <w:tcW w:w="6360" w:type="dxa"/>
            <w:vAlign w:val="bottom"/>
            <w:gridSpan w:val="2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21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6480" w:type="dxa"/>
            <w:vAlign w:val="bottom"/>
            <w:gridSpan w:val="2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24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6200" w:type="dxa"/>
            <w:vAlign w:val="bottom"/>
            <w:gridSpan w:val="1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614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248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196"/>
        </w:trPr>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PART II.</w:t>
            </w:r>
          </w:p>
        </w:tc>
        <w:tc>
          <w:tcPr>
            <w:tcW w:w="540" w:type="dxa"/>
            <w:vAlign w:val="bottom"/>
            <w:gridSpan w:val="3"/>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0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360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786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0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[RESERVED]</w:t>
            </w:r>
          </w:p>
        </w:tc>
        <w:tc>
          <w:tcPr>
            <w:tcW w:w="1560" w:type="dxa"/>
            <w:vAlign w:val="bottom"/>
            <w:tcBorders>
              <w:top w:val="single" w:sz="8" w:color="0000EE"/>
            </w:tcBorders>
            <w:gridSpan w:val="12"/>
          </w:tcPr>
          <w:p>
            <w:pPr>
              <w:spacing w:after="0"/>
              <w:rPr>
                <w:sz w:val="17"/>
                <w:szCs w:val="17"/>
                <w:color w:val="auto"/>
              </w:rPr>
            </w:pPr>
          </w:p>
        </w:tc>
        <w:tc>
          <w:tcPr>
            <w:tcW w:w="6020" w:type="dxa"/>
            <w:vAlign w:val="bottom"/>
            <w:gridSpan w:val="1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16A.</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16B.</w:t>
            </w:r>
          </w:p>
        </w:tc>
        <w:tc>
          <w:tcPr>
            <w:tcW w:w="34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522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16C.</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16D.</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16E.</w:t>
            </w:r>
          </w:p>
        </w:tc>
        <w:tc>
          <w:tcPr>
            <w:tcW w:w="70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 OF EQUITY SECURITIES BY THE ISSUER AND AFFILIATED PURCHASERS</w:t>
            </w:r>
          </w:p>
        </w:tc>
        <w:tc>
          <w:tcPr>
            <w:tcW w:w="156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16F.</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16G.</w:t>
            </w:r>
          </w:p>
        </w:tc>
        <w:tc>
          <w:tcPr>
            <w:tcW w:w="23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CORPORATE GOVERNANCE</w:t>
            </w:r>
          </w:p>
        </w:tc>
        <w:tc>
          <w:tcPr>
            <w:tcW w:w="2340" w:type="dxa"/>
            <w:vAlign w:val="bottom"/>
            <w:tcBorders>
              <w:top w:val="single" w:sz="8" w:color="0000EE"/>
            </w:tcBorders>
            <w:gridSpan w:val="11"/>
          </w:tcPr>
          <w:p>
            <w:pPr>
              <w:spacing w:after="0"/>
              <w:rPr>
                <w:sz w:val="17"/>
                <w:szCs w:val="17"/>
                <w:color w:val="auto"/>
              </w:rPr>
            </w:pPr>
          </w:p>
        </w:tc>
        <w:tc>
          <w:tcPr>
            <w:tcW w:w="394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16H.</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60" w:type="dxa"/>
            <w:vAlign w:val="bottom"/>
            <w:gridSpan w:val="17"/>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16I.</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16J.</w:t>
            </w:r>
          </w:p>
        </w:tc>
        <w:tc>
          <w:tcPr>
            <w:tcW w:w="696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66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16K.</w:t>
            </w:r>
          </w:p>
        </w:tc>
        <w:tc>
          <w:tcPr>
            <w:tcW w:w="24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220" w:type="dxa"/>
            <w:vAlign w:val="bottom"/>
            <w:gridSpan w:val="2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196"/>
        </w:trPr>
        <w:tc>
          <w:tcPr>
            <w:tcW w:w="7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PART III.</w:t>
            </w:r>
          </w:p>
        </w:tc>
        <w:tc>
          <w:tcPr>
            <w:tcW w:w="480" w:type="dxa"/>
            <w:vAlign w:val="bottom"/>
            <w:gridSpan w:val="2"/>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17.</w:t>
            </w:r>
          </w:p>
        </w:tc>
        <w:tc>
          <w:tcPr>
            <w:tcW w:w="2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6440" w:type="dxa"/>
            <w:vAlign w:val="bottom"/>
            <w:gridSpan w:val="2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18.</w:t>
            </w:r>
          </w:p>
        </w:tc>
        <w:tc>
          <w:tcPr>
            <w:tcW w:w="21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6460" w:type="dxa"/>
            <w:vAlign w:val="bottom"/>
            <w:gridSpan w:val="2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1180" w:type="dxa"/>
            <w:vAlign w:val="bottom"/>
            <w:gridSpan w:val="5"/>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19.</w:t>
            </w:r>
          </w:p>
        </w:tc>
        <w:tc>
          <w:tcPr>
            <w:tcW w:w="8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11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“future,” “intend,” “plan,” “believe,” “estimate,”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w:t>
      </w:r>
    </w:p>
    <w:p>
      <w:pPr>
        <w:spacing w:after="0" w:line="93"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business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among other things, capital, technology and skilled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control costs and maintain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regulatory and operating conditions in the industry and geographical markets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return policy;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development in the overall economy and demand for travel services globally.</w:t>
      </w:r>
    </w:p>
    <w:p>
      <w:pPr>
        <w:spacing w:after="0" w:line="225"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The forward-looking statements included in this annual report on Form 20-F are subject to risks, uncertainties, and assumptions about our company. Our actual results of operations may differ materially from the forward-looking statements as a result of the risk factors described under “Item</w:t>
      </w:r>
    </w:p>
    <w:p>
      <w:pPr>
        <w:spacing w:after="0" w:line="1" w:lineRule="exact"/>
        <w:rPr>
          <w:sz w:val="20"/>
          <w:szCs w:val="20"/>
          <w:color w:val="auto"/>
        </w:rPr>
      </w:pPr>
    </w:p>
    <w:p>
      <w:pPr>
        <w:ind w:left="120" w:right="80" w:hanging="4"/>
        <w:spacing w:after="0" w:line="252" w:lineRule="auto"/>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 included elsewhere in this annual report on Form 20-F. These risks are not exhaustive. Other sections of this annual report include additional factors that could adversely impact our business and financial performance. You should read these statements in conjunction with the risk factors disclosed in “Item 3. Key Information—D. Risk Factors” of this annual report and other risks outlined in our other filings with the Securities and Exchange Commission, or the SEC. Moreover, we operate in an evolving environment.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IDENTITY OF DIRECTORS, SENIOR MANAGEMENT AND ADVISERS</w:t>
      </w:r>
    </w:p>
    <w:p>
      <w:pPr>
        <w:spacing w:after="0" w:line="121" w:lineRule="exact"/>
        <w:rPr>
          <w:sz w:val="20"/>
          <w:szCs w:val="20"/>
          <w:color w:val="auto"/>
        </w:rPr>
      </w:pPr>
    </w:p>
    <w:p>
      <w:pPr>
        <w:sectPr>
          <w:pgSz w:w="11900" w:h="16838" w:orient="portrait"/>
          <w:cols w:equalWidth="0" w:num="2">
            <w:col w:w="760" w:space="440"/>
            <w:col w:w="9900"/>
          </w:cols>
          <w:pgMar w:left="320" w:top="482" w:right="4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00"/>
          </w:cols>
          <w:pgMar w:left="320" w:top="482" w:right="479" w:bottom="1440" w:gutter="0" w:footer="0" w:header="0"/>
          <w:type w:val="continuous"/>
        </w:sect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133" w:lineRule="exact"/>
        <w:rPr>
          <w:sz w:val="20"/>
          <w:szCs w:val="20"/>
          <w:color w:val="auto"/>
        </w:rPr>
      </w:pPr>
    </w:p>
    <w:p>
      <w:pPr>
        <w:sectPr>
          <w:pgSz w:w="11900" w:h="16838" w:orient="portrait"/>
          <w:cols w:equalWidth="0" w:num="2">
            <w:col w:w="760" w:space="440"/>
            <w:col w:w="9900"/>
          </w:cols>
          <w:pgMar w:left="320" w:top="482" w:right="4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00"/>
          </w:cols>
          <w:pgMar w:left="320" w:top="482" w:right="479" w:bottom="1440" w:gutter="0" w:footer="0" w:header="0"/>
          <w:type w:val="continuous"/>
        </w:sect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INFORMATION</w:t>
      </w:r>
    </w:p>
    <w:p>
      <w:pPr>
        <w:spacing w:after="0" w:line="117" w:lineRule="exact"/>
        <w:rPr>
          <w:sz w:val="20"/>
          <w:szCs w:val="20"/>
          <w:color w:val="auto"/>
        </w:rPr>
      </w:pPr>
    </w:p>
    <w:p>
      <w:pPr>
        <w:sectPr>
          <w:pgSz w:w="11900" w:h="16838" w:orient="portrait"/>
          <w:cols w:equalWidth="0" w:num="2">
            <w:col w:w="760" w:space="440"/>
            <w:col w:w="990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leading global one-stop travel service provider, integrating a comprehensive suite of travel products and services and differentiated travel content. Leveraging our one-stop-shop model, high-quality service, and advanced technology, we are consistently expanding our global reach. We are the go-to destination for travelers in Asia, and increasingly for travelers around the world, to explore travel, get inspired, make informed and cost-effective travel bookings, enjoy hassle-free on-the-go support, and share travel experience.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Platform</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one-stop travel platform connects our users and our ecosystem partners. Leveraging our AI capabilities and travel insights accumulated over the past years, we have evolved from an emerging online travel transaction platform to a one-stop travel platform integrating a comprehensive suite of travel products and services and differentiated travel content and connecting users and ecosystem partners from around the world. Our platform aggregates our product and service offerings, reviews and other content shared by our users based on their real travel experiences, and original content from our ecosystem partners to enable leisure and business travelers to have easy access to enjoyable travel experiences and make informed and cost-effective bookings.</w:t>
      </w:r>
    </w:p>
    <w:p>
      <w:pPr>
        <w:spacing w:after="0" w:line="187"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As a result of our leading position in travel markets and our vast user base, our platform has attracted ecosystem partners across multiple sectors, including accommodation reservation, transportation ticketing, packaged tours, and in-destination activities. We provide our ecosystem partners with a variety of technology-enabled solutions and help them establish an online presence, access our massive and global user base, and engage with users in real time. In addition, we have rolled out content sharing features on our platform, which allow users to discover, explore, and share travel-related content featuring destination reviews and travel experiences and tips, thereby further enriching the ecosystem surrounding our platform.</w:t>
      </w:r>
    </w:p>
    <w:p>
      <w:pPr>
        <w:spacing w:after="0" w:line="16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Omni-Channel Touchpoints for Users. </w:t>
      </w:r>
      <w:r>
        <w:rPr>
          <w:rFonts w:ascii="Times New Roman" w:cs="Times New Roman" w:eastAsia="Times New Roman" w:hAnsi="Times New Roman"/>
          <w:sz w:val="18"/>
          <w:szCs w:val="18"/>
          <w:color w:val="auto"/>
        </w:rPr>
        <w:t>We are committed to providing each user with a personalized, convenient, enjoyable, and inspirational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experience. Our online channels consist of our mobile applications, other mobile access channels, and websites. Our online reservation and fulfillment infrastructure enables our users to explore, search, reserve, and purchase travel products and other value-added services through our online channels. For the year ended December 31, 2025, over 90% of our total transaction orders were executed through our mobile channels.</w:t>
      </w:r>
    </w:p>
    <w:p>
      <w:pPr>
        <w:spacing w:after="0" w:line="18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maintain 26 customer service centers globally to strengthen our competitive advantage in online channels. We have offline stores with our business partners to serve our users who prefer an in-person experience. In our offline stores, we provide users with one-stop services, such as travel consultation services and other local support and assistance.</w:t>
      </w:r>
    </w:p>
    <w:p>
      <w:pPr>
        <w:spacing w:after="0" w:line="174"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Open Platform for Ecosystem Partners. </w:t>
      </w:r>
      <w:r>
        <w:rPr>
          <w:rFonts w:ascii="Times New Roman" w:cs="Times New Roman" w:eastAsia="Times New Roman" w:hAnsi="Times New Roman"/>
          <w:sz w:val="18"/>
          <w:szCs w:val="18"/>
          <w:color w:val="auto"/>
        </w:rPr>
        <w:t>We adopted an open platform business model to attract and facilitate customized travel offerings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ecosystem partners covering various sectors in the travel vertical. Our open platform strategy allows ecosystem partners to join our open platform and directly post their own product and service offerings on our platform alongside products and services that are negotiated with business partners and offered by us.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ecosystem partner base includes hotels and other accommodation providers, airlines and other air ticket partners, train ticket partners, car rental companies, bus operators, ferry carriers, other travel agencies from whom we source travel products and services, and value-added service partners. We also opened up our platform to international partners, search engines, e-commerce platforms, and other channels to expand their business opportunities and increase the offerings available to our users. As of December 31, 2025, our open platform provided approximately 1.7 million global accommodation listings, offered flights from over 680 airlines, and had a network of over 60,000 other ecosystem partners. With our global user base, we are well-positioned to forge partnerships with various participants in the global travel ecosystem and expand our global presence.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Services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offer accommodation reservation, transportation ticketing, packaged tours, and corporate travel management services, as well as other travel-related services to meet the various booking and traveling needs of both leisure and business travelers through our travel platform. We began offering accommodation reservation and transportation ticketing services in October 1999. Since then, we have been driving the transformation of travel experience and the adoption of online- and mobile-based travel booking solutions for leisure and business travelers. We capture evolving user preferences and provide travel content as well as travel products and services to make travel effortlessly enjoyable. In addition, we offer various other products and services, including packaged-tour and in-destination activity products and services, corporate travel management services, and other travel-related services, such as car services, travel-related financing and insurance, and visa services to meet the various booking and traveling needs of both leisure and business travelers. Our users also have access to both user-generated and professionally-generated content through personalized content feeds and our search tools.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Continued Global Expansion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steadily increasing our influence in target markets around the world. In particular, the Asia-Pacific region is among the fastest-growing regions for travel consumption globally, driven by a rapid shift from offline to online and mobile services. Our omni-channel user service and support approach is a natural fit for this paradigm shift and has enabled us to accomplish strong growth momentum in the Asia-Pacific region and elsewhere. We are also expanding and growing rapidly in new markets, which helps to diversify our market portfolio and strengthen our global presence. Our global expansion is driven by market-specific insights, allowing us to tailor our approach and scale effectively. This localized strategy fuels our growth and reinforces our confidence in long-term success.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Financial Information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experienced significant growth from 2023 to 2025. Our total revenues increased by 20% from RMB44.6 billion in 2023 to RMB53.4 billion in 2024, and further increased by 17% to RMB62.5 billion (US$8.9 billion) in 2025. In 2023, 2024, and 2025, we recorded net income of RMB10.0 billion, RMB17.2 billion, and RMB33.4 billion (US$4.8 billion),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our revenues through the following businesses:</w:t>
      </w:r>
    </w:p>
    <w:p>
      <w:pPr>
        <w:spacing w:after="0" w:line="223"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Accommodation Reservation</w:t>
      </w:r>
      <w:r>
        <w:rPr>
          <w:rFonts w:ascii="Times New Roman" w:cs="Times New Roman" w:eastAsia="Times New Roman" w:hAnsi="Times New Roman"/>
          <w:sz w:val="18"/>
          <w:szCs w:val="18"/>
          <w:color w:val="auto"/>
        </w:rPr>
        <w:t>. Accommodation reservation revenue constitutes a significant source of our revenues. In 2023, 2024, and 2025,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accommodation reservation revenue was RMB17.3 billion, RMB21.6 billion, and RMB26.1 billion (US$3.7 billion), representing 39%, 40%, and 42% of our total revenues, respectively.</w:t>
      </w:r>
    </w:p>
    <w:p>
      <w:pPr>
        <w:spacing w:after="0" w:line="17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generate substantially all of our accommodation reservation revenue through commissions from hotel reservation partners through our platform. We recognize revenues when the reservation becomes non-cancelable, which is the point at which we complete our performance obligation in accommodation reservation services.</w:t>
      </w:r>
    </w:p>
    <w:p>
      <w:pPr>
        <w:spacing w:after="0" w:line="174" w:lineRule="exact"/>
        <w:rPr>
          <w:sz w:val="20"/>
          <w:szCs w:val="20"/>
          <w:color w:val="auto"/>
        </w:rPr>
      </w:pPr>
    </w:p>
    <w:p>
      <w:pPr>
        <w:ind w:left="120" w:right="10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Transportation Ticketing</w:t>
      </w:r>
      <w:r>
        <w:rPr>
          <w:rFonts w:ascii="Times New Roman" w:cs="Times New Roman" w:eastAsia="Times New Roman" w:hAnsi="Times New Roman"/>
          <w:sz w:val="18"/>
          <w:szCs w:val="18"/>
          <w:color w:val="auto"/>
        </w:rPr>
        <w:t>. In 2023, 2024, and 2025, our transportation ticketing revenue was RMB18.4 billion, RMB20.3 billion,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RMB22.5 billion (US$3.2 billion), representing 41%, 38%, and 36% of our total revenues, respectively.</w:t>
      </w:r>
    </w:p>
    <w:p>
      <w:pPr>
        <w:spacing w:after="0" w:line="16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operate our transportation ticketing business primarily through our wholly-owned subsidiaries, the VIEs and VIEs’ subsidiaries, and a network of ecosystem partners. Commissions from ticketing reservations rendered are recognized when tickets are issued as this is when our performance obligation is satisfied. Revenues from other related services are recognized at the time when the services are rendered.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Packaged tours</w:t>
      </w:r>
      <w:r>
        <w:rPr>
          <w:rFonts w:ascii="Times New Roman" w:cs="Times New Roman" w:eastAsia="Times New Roman" w:hAnsi="Times New Roman"/>
          <w:sz w:val="18"/>
          <w:szCs w:val="18"/>
          <w:color w:val="auto"/>
        </w:rPr>
        <w:t>. In 2023, 2024, and 2025, our packaged-tour revenue was RMB3.1 billion, RMB4.3 billion, and RMB4.7 billion (US$670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We bundle the packaged-tour products and services and receive referral fees from ecosystem partners for packaged-tour products and services through our platform. Referral fees are recognized on the departure date of the packaged tours as this is when our performance obligation is satisfied.</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Travel. </w:t>
      </w:r>
      <w:r>
        <w:rPr>
          <w:rFonts w:ascii="Times New Roman" w:cs="Times New Roman" w:eastAsia="Times New Roman" w:hAnsi="Times New Roman"/>
          <w:sz w:val="18"/>
          <w:szCs w:val="18"/>
          <w:color w:val="auto"/>
        </w:rPr>
        <w:t>Our corporate travel revenue primarily includes commissions from transportation ticketing booking, accommodation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reservation, and packaged-tour services rendered to corporate clients. In 2023, 2024, and 2025, revenue from our corporate travel services was RMB2.3 billion, RMB2.5 billion, and RMB2.8 billion (US$405 million), respectively. We contract with corporate clients based on a service fee model. Travel reservations are made via online and offline services for transportation ticketing booking, accommodation reservation, and packaged-tour services. Corporate travel revenue is recognized on a net basis after the services are rendered and collections are reasonably assured.</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primarily consists of online advertising services and financial services. In 2023, 2024, and 2025, revenue from other business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RMB3.5 billion, RMB4.6 billion, and RMB6.4 billion (US$916 million), respectively. Advertising revenue is recognized ratably over the fixed term of the agreement as services are provided or upon relevant performance obligations being fulfilled through the display of the advertisements. The financial service revenue mainly represents the platform service fees from third-party financial institutions that are recognized ratably over the service period as well as the interest income from the receivables due from the users that are recognized over the credit period.</w:t>
      </w:r>
    </w:p>
    <w:p>
      <w:pPr>
        <w:spacing w:after="0" w:line="18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selected consolidated financial information for our business. You should read the following information in conjunction with “Item 5. Operating and Financial Review and Prospects” below. The selected consolidated statements of income data for the years ended December 31, 2023, 2024, and 2025 and the selected consolidated balance sheets data as of December 31, 2024 and 2025 have been derived from our audited consolidated financial statements and should be read in conjunction with those statements, which are included in this annual report beginning on page F-1. The selected consolidated statements of (loss)/income data for the years ended December 31, 2021 and 2022 and the selected consolidated balance sheets data as of December 31, 2021, 2022, and 2023 have been derived from our audited consolidated financial statements for these periods, which are not included in this annual report.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historical results do not necessarily indicate results expected for any future periods.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840" w:type="dxa"/>
            <w:vAlign w:val="bottom"/>
          </w:tcPr>
          <w:p>
            <w:pPr>
              <w:spacing w:after="0"/>
              <w:rPr>
                <w:sz w:val="12"/>
                <w:szCs w:val="12"/>
                <w:color w:val="auto"/>
              </w:rPr>
            </w:pPr>
          </w:p>
        </w:tc>
        <w:tc>
          <w:tcPr>
            <w:tcW w:w="9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9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080" w:type="dxa"/>
            <w:vAlign w:val="bottom"/>
            <w:gridSpan w:val="2"/>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96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gridSpan w:val="8"/>
          </w:tcPr>
          <w:p>
            <w:pPr>
              <w:jc w:val="center"/>
              <w:ind w:left="55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for share and per share data)</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94"/>
        </w:trPr>
        <w:tc>
          <w:tcPr>
            <w:tcW w:w="3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Selected Consolidated Statements of</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38"/>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(Loss)/Income Data</w:t>
            </w: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20,023</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20,039</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44,510</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53,294</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62,409</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8,925</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(4,598)</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(4,513)</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(8,121)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(12,122)</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(1,733)</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2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36,389</w:t>
            </w:r>
          </w:p>
        </w:tc>
        <w:tc>
          <w:tcPr>
            <w:tcW w:w="2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43,304</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50,287</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8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—Product development</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(8,992)</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(8,341)</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(12,120)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(13,139)</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(15,136)</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(2,164)</w:t>
            </w:r>
          </w:p>
        </w:tc>
      </w:tr>
      <w:tr>
        <w:trPr>
          <w:trHeight w:val="216"/>
        </w:trPr>
        <w:tc>
          <w:tcPr>
            <w:tcW w:w="3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5"/>
                <w:szCs w:val="25"/>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(4,250)</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(9,202)</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(2,131)</w:t>
            </w: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(2,847)</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(3,743)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(4,086)</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(4,474)</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w:t>
            </w:r>
          </w:p>
        </w:tc>
      </w:tr>
      <w:tr>
        <w:trPr>
          <w:trHeight w:val="27"/>
        </w:trPr>
        <w:tc>
          <w:tcPr>
            <w:tcW w:w="38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(16,836)</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(15,438)</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(25,065)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(29,127)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(34,514)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(4,935)</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2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15,773</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8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and other income/(expense)</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940</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2,547</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(644)</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23,075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3,300</w:t>
            </w:r>
          </w:p>
        </w:tc>
      </w:tr>
      <w:tr>
        <w:trPr>
          <w:trHeight w:val="372"/>
        </w:trPr>
        <w:tc>
          <w:tcPr>
            <w:tcW w:w="38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1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840" w:type="dxa"/>
            <w:vAlign w:val="bottom"/>
          </w:tcPr>
          <w:p>
            <w:pPr>
              <w:spacing w:after="0"/>
              <w:rPr>
                <w:sz w:val="12"/>
                <w:szCs w:val="12"/>
                <w:color w:val="auto"/>
              </w:rPr>
            </w:pPr>
          </w:p>
        </w:tc>
        <w:tc>
          <w:tcPr>
            <w:tcW w:w="9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00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760" w:type="dxa"/>
            <w:vAlign w:val="bottom"/>
            <w:gridSpan w:val="2"/>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5"/>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4"/>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4"/>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560" w:type="dxa"/>
            <w:vAlign w:val="bottom"/>
            <w:gridSpan w:val="18"/>
          </w:tcPr>
          <w:p>
            <w:pPr>
              <w:ind w:left="8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for share and per share data)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(Loss)/Income before income tax expense and</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income /(loss) of affiliates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2,635</w:t>
            </w:r>
          </w:p>
        </w:tc>
        <w:tc>
          <w:tcPr>
            <w:tcW w:w="10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10,680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17,003</w:t>
            </w:r>
          </w:p>
        </w:tc>
        <w:tc>
          <w:tcPr>
            <w:tcW w:w="4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38,848</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5,557</w:t>
            </w:r>
          </w:p>
        </w:tc>
        <w:tc>
          <w:tcPr>
            <w:tcW w:w="6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(682)</w:t>
            </w:r>
          </w:p>
        </w:tc>
        <w:tc>
          <w:tcPr>
            <w:tcW w:w="10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(2,604)</w:t>
            </w:r>
          </w:p>
        </w:tc>
        <w:tc>
          <w:tcPr>
            <w:tcW w:w="4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(5,815)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/(loss) of affiliates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(586)</w:t>
            </w:r>
          </w:p>
        </w:tc>
        <w:tc>
          <w:tcPr>
            <w:tcW w:w="10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2,828</w:t>
            </w:r>
          </w:p>
        </w:tc>
        <w:tc>
          <w:tcPr>
            <w:tcW w:w="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1,367</w:t>
            </w:r>
          </w:p>
        </w:tc>
        <w:tc>
          <w:tcPr>
            <w:tcW w:w="10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10,002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17,227</w:t>
            </w:r>
          </w:p>
        </w:tc>
        <w:tc>
          <w:tcPr>
            <w:tcW w:w="40" w:type="dxa"/>
            <w:vAlign w:val="bottom"/>
          </w:tcPr>
          <w:p>
            <w:pPr>
              <w:spacing w:after="0"/>
              <w:rPr>
                <w:sz w:val="19"/>
                <w:szCs w:val="19"/>
                <w:color w:val="auto"/>
              </w:rPr>
            </w:pP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33,386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c>
          <w:tcPr>
            <w:tcW w:w="60" w:type="dxa"/>
            <w:vAlign w:val="bottom"/>
          </w:tcPr>
          <w:p>
            <w:pPr>
              <w:spacing w:after="0"/>
              <w:rPr>
                <w:sz w:val="19"/>
                <w:szCs w:val="19"/>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loss/(income) attributable to non-controlling</w:t>
            </w: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 and mezzanine classified</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20"/>
                <w:szCs w:val="20"/>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to redemption value of redeemable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8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(loss)/income attributable to Trip.com Group</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1,403</w:t>
            </w:r>
          </w:p>
        </w:tc>
        <w:tc>
          <w:tcPr>
            <w:tcW w:w="10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9,918</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17,067</w:t>
            </w:r>
          </w:p>
        </w:tc>
        <w:tc>
          <w:tcPr>
            <w:tcW w:w="4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33,294</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4,762</w:t>
            </w:r>
          </w:p>
        </w:tc>
        <w:tc>
          <w:tcPr>
            <w:tcW w:w="6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(Losses)/Earnings per ordinary share data:</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(Losses)/Earnings per ordinary share</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17"/>
                <w:szCs w:val="17"/>
                <w:color w:val="auto"/>
              </w:rPr>
              <w:t>, basic</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(0.87)</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w:t>
            </w:r>
          </w:p>
        </w:tc>
        <w:tc>
          <w:tcPr>
            <w:tcW w:w="10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26.10</w:t>
            </w:r>
          </w:p>
        </w:tc>
        <w:tc>
          <w:tcPr>
            <w:tcW w:w="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(Losses)/Earnings per ordinary share</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17"/>
                <w:szCs w:val="17"/>
                <w:color w:val="auto"/>
              </w:rPr>
              <w:t>, diluted</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(0.87)</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w:t>
            </w:r>
          </w:p>
        </w:tc>
        <w:tc>
          <w:tcPr>
            <w:tcW w:w="10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14.78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24.78</w:t>
            </w:r>
          </w:p>
        </w:tc>
        <w:tc>
          <w:tcPr>
            <w:tcW w:w="40" w:type="dxa"/>
            <w:vAlign w:val="bottom"/>
          </w:tcPr>
          <w:p>
            <w:pPr>
              <w:spacing w:after="0"/>
              <w:rPr>
                <w:sz w:val="18"/>
                <w:szCs w:val="18"/>
                <w:color w:val="auto"/>
              </w:rPr>
            </w:pP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47.67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6.82</w:t>
            </w:r>
          </w:p>
        </w:tc>
        <w:tc>
          <w:tcPr>
            <w:tcW w:w="60" w:type="dxa"/>
            <w:vAlign w:val="bottom"/>
          </w:tcPr>
          <w:p>
            <w:pPr>
              <w:spacing w:after="0"/>
              <w:rPr>
                <w:sz w:val="18"/>
                <w:szCs w:val="18"/>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Weighted average ordinary shares outstanding</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634,109,233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648,380,590</w:t>
            </w:r>
          </w:p>
        </w:tc>
        <w:tc>
          <w:tcPr>
            <w:tcW w:w="10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652,859,211</w:t>
            </w:r>
          </w:p>
        </w:tc>
        <w:tc>
          <w:tcPr>
            <w:tcW w:w="132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654,035,399</w:t>
            </w:r>
          </w:p>
        </w:tc>
        <w:tc>
          <w:tcPr>
            <w:tcW w:w="4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657,754,190</w:t>
            </w:r>
          </w:p>
        </w:tc>
        <w:tc>
          <w:tcPr>
            <w:tcW w:w="1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657,754,190</w:t>
            </w:r>
          </w:p>
        </w:tc>
        <w:tc>
          <w:tcPr>
            <w:tcW w:w="60" w:type="dxa"/>
            <w:vAlign w:val="bottom"/>
            <w:shd w:val="clear" w:color="auto" w:fill="CCEEFF"/>
          </w:tcPr>
          <w:p>
            <w:pPr>
              <w:spacing w:after="0"/>
              <w:rPr>
                <w:sz w:val="20"/>
                <w:szCs w:val="20"/>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6"/>
                <w:szCs w:val="16"/>
                <w:color w:val="auto"/>
              </w:rPr>
              <w:t>Weighted average ordinary shares outstanding</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6"/>
                <w:szCs w:val="16"/>
                <w:color w:val="auto"/>
              </w:rPr>
              <w: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634,109,233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657,092,826</w:t>
            </w:r>
          </w:p>
        </w:tc>
        <w:tc>
          <w:tcPr>
            <w:tcW w:w="10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671,062,240</w:t>
            </w:r>
          </w:p>
        </w:tc>
        <w:tc>
          <w:tcPr>
            <w:tcW w:w="132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688,704,882</w:t>
            </w:r>
          </w:p>
        </w:tc>
        <w:tc>
          <w:tcPr>
            <w:tcW w:w="40" w:type="dxa"/>
            <w:vAlign w:val="bottom"/>
          </w:tcPr>
          <w:p>
            <w:pPr>
              <w:spacing w:after="0"/>
              <w:rPr>
                <w:sz w:val="20"/>
                <w:szCs w:val="20"/>
                <w:color w:val="auto"/>
              </w:rPr>
            </w:pP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698,378,891</w:t>
            </w: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698,378,891</w:t>
            </w:r>
          </w:p>
        </w:tc>
        <w:tc>
          <w:tcPr>
            <w:tcW w:w="60" w:type="dxa"/>
            <w:vAlign w:val="bottom"/>
          </w:tcPr>
          <w:p>
            <w:pPr>
              <w:spacing w:after="0"/>
              <w:rPr>
                <w:sz w:val="20"/>
                <w:szCs w:val="20"/>
                <w:color w:val="auto"/>
              </w:rPr>
            </w:pPr>
          </w:p>
        </w:tc>
      </w:tr>
      <w:tr>
        <w:trPr>
          <w:trHeight w:val="392"/>
        </w:trPr>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560" w:type="dxa"/>
            <w:vAlign w:val="bottom"/>
            <w:gridSpan w:val="2"/>
          </w:tcPr>
          <w:p>
            <w:pPr>
              <w:jc w:val="center"/>
              <w:ind w:left="1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72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6"/>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Balance Sheets Data</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19,818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17,000</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41,592</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48,439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39,848</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5,698</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1,487</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2,391</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29,566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25,545</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17,748</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28,475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32,007</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4,577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66,108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61,435</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88,732</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112,120</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121,050</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17,309</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44,961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50,177</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49,342</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47,194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61,375</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8,777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191,859</w:t>
            </w:r>
          </w:p>
        </w:tc>
        <w:tc>
          <w:tcPr>
            <w:tcW w:w="4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191,691</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219,137</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242,581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267,387</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38,236</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66,218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61,239</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72,411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74,010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78,169</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11,177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11,093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13,177</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19,099</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11,430</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1,634</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81,403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78,672</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96,131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99,099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94,787</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13,554</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365"/>
        </w:trPr>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11"/>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6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480" w:type="dxa"/>
            <w:vAlign w:val="bottom"/>
            <w:tcBorders>
              <w:bottom w:val="single" w:sz="8" w:color="auto"/>
            </w:tcBorders>
            <w:gridSpan w:val="2"/>
          </w:tcPr>
          <w:p>
            <w:pPr>
              <w:jc w:val="center"/>
              <w:ind w:lef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6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4"/>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10"/>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Trip.com Group Limited shareholders’ equity</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109,677</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112,283</w:t>
            </w:r>
          </w:p>
        </w:tc>
        <w:tc>
          <w:tcPr>
            <w:tcW w:w="6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122,184</w:t>
            </w:r>
          </w:p>
        </w:tc>
        <w:tc>
          <w:tcPr>
            <w:tcW w:w="96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141,807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170,818</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24,427</w:t>
            </w:r>
          </w:p>
        </w:tc>
      </w:tr>
      <w:tr>
        <w:trPr>
          <w:trHeight w:val="216"/>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779</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932</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110,456</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113,019</w:t>
            </w:r>
          </w:p>
        </w:tc>
        <w:tc>
          <w:tcPr>
            <w:tcW w:w="6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123,006</w:t>
            </w:r>
          </w:p>
        </w:tc>
        <w:tc>
          <w:tcPr>
            <w:tcW w:w="96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142,739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172,469</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24,663</w:t>
            </w:r>
          </w:p>
        </w:tc>
      </w:tr>
      <w:tr>
        <w:trPr>
          <w:trHeight w:val="135"/>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99"/>
        </w:trPr>
        <w:tc>
          <w:tcPr>
            <w:tcW w:w="6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Notes: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0"/>
        </w:trPr>
        <w:tc>
          <w:tcPr>
            <w:tcW w:w="6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(1)Share-based compensation was included in the related operating expense categories as follows:</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74"/>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80" w:type="dxa"/>
            <w:vAlign w:val="bottom"/>
            <w:gridSpan w:val="2"/>
          </w:tcPr>
          <w:p>
            <w:pPr>
              <w:jc w:val="center"/>
              <w:ind w:left="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w:t>
            </w:r>
          </w:p>
        </w:tc>
        <w:tc>
          <w:tcPr>
            <w:tcW w:w="500" w:type="dxa"/>
            <w:vAlign w:val="bottom"/>
            <w:gridSpan w:val="3"/>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7"/>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567</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1,039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2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506</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1,015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99"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American depositary share, or ADS, represents one ordinary share.</w:t>
      </w:r>
    </w:p>
    <w:p>
      <w:pPr>
        <w:spacing w:after="0" w:line="109" w:lineRule="exact"/>
        <w:rPr>
          <w:rFonts w:ascii="Times New Roman" w:cs="Times New Roman" w:eastAsia="Times New Roman" w:hAnsi="Times New Roman"/>
          <w:sz w:val="14"/>
          <w:szCs w:val="14"/>
          <w:color w:val="auto"/>
        </w:rPr>
      </w:pPr>
    </w:p>
    <w:p>
      <w:pPr>
        <w:ind w:left="540" w:right="380" w:hanging="424"/>
        <w:spacing w:after="0" w:line="261" w:lineRule="auto"/>
        <w:tabs>
          <w:tab w:leader="none" w:pos="5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18, 2021, we effected a change to our authorized share capital by a one-to-eight subdivision of shares. Concurrently, we effected a proportionate change in our ADS to ordinary share ratio from eight ADSs representing one ordinary share to one ADS representing one ordinary share.</w:t>
      </w:r>
    </w:p>
    <w:p>
      <w:pPr>
        <w:spacing w:after="0" w:line="16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the tables above and elsewhere in this annual report, any discrepancies between the amounts identified as total amounts and the sum of the amounts listed therein are due to rounding. In calculating our operating data presented in this annual report, we primarily present that of our Ctrip brand and Trip.com brand combined, unless otherwise indicated, except that gross merchandise volume (GMV), the gross area of our leased properties and facilities, and the number of our employees represent those of our company as a whole.</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reporting currency is Renminbi. This annual report contains translations from Renminbi to U.S. dollars solely for the convenience of the reader. Unless otherwise stated, all translations from Renminbi to U.S. dollars were made at a rate of RMB6.9931 to US$1.00, which was the exchange rate in effect as of December 31, 2025 as set forth in the H.10 statistical release of The Board of Governors of the Federal Reserve System. The exchange rate in effect as of April 17, 2026 was RMB6.8170 to US$1.00</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We make no representation that any Renminbi amounts referred to in this annual report could have been, or could be, converted to U.S. dollars at any particular rate, or at all.</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including our significant subsidiaries and the VIEs,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103620" cy="2957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0362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Notes:</w:t>
      </w:r>
    </w:p>
    <w:p>
      <w:pPr>
        <w:spacing w:after="0" w:line="109"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Indirectly owned through a Cayman Islands company.</w:t>
      </w:r>
    </w:p>
    <w:p>
      <w:pPr>
        <w:spacing w:after="0" w:line="109" w:lineRule="exact"/>
        <w:rPr>
          <w:rFonts w:ascii="Times New Roman" w:cs="Times New Roman" w:eastAsia="Times New Roman" w:hAnsi="Times New Roman"/>
          <w:sz w:val="14"/>
          <w:szCs w:val="14"/>
          <w:color w:val="auto"/>
        </w:rPr>
      </w:pPr>
    </w:p>
    <w:p>
      <w:pPr>
        <w:ind w:left="540" w:right="40" w:hanging="424"/>
        <w:spacing w:after="0" w:line="261" w:lineRule="auto"/>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57% owners of Qunar Cayman Islands Limited are several non-U.S. investment entities, namely M Strat Holdings, L.P., Momentum Strategic Holdings, L.P., Ocean Management Limited, and Earthly Paradise Investment Fund L.P., which are consolidated by us under U.S. GAAP.</w:t>
      </w:r>
    </w:p>
    <w:p>
      <w:pPr>
        <w:spacing w:after="0" w:line="68"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Indirectly owned through Ctrip Travel Holding (Hong Kong) Limited and Ctrip.com (Hong Kong) Limited, both of which are Hong Kong companies.</w:t>
      </w:r>
    </w:p>
    <w:p>
      <w:pPr>
        <w:spacing w:after="0" w:line="10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Indirectly owned through Queen’s Road Travel Information Limited, a Hong Kong company.</w:t>
      </w:r>
    </w:p>
    <w:p>
      <w:pPr>
        <w:spacing w:after="0" w:line="10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 Sun and Maohua Sun hold 89.8% and 10.2% of the equity interest in Shanghai Ctrip Commerce Co., Ltd., respectively.</w:t>
      </w:r>
    </w:p>
    <w:p>
      <w:pPr>
        <w:spacing w:after="0" w:line="10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Hui Cao and Hui Wang hold 60% and 40% of the equity interest in Beijing Qu Na Information Technology Co., Ltd., respectively.</w:t>
      </w:r>
    </w:p>
    <w:p>
      <w:pPr>
        <w:spacing w:after="0" w:line="20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Trip.com Group Limited is not an operating company but a Cayman Islands holding company with no equity ownership in the VIEs. Our operations in China are conducted through (i) our PRC subsidiaries, and (ii) the VIEs with which we maintain contractual arrangements and their PRC subsidiaries. PRC laws and regulations restrict foreign investment in certain businesses, such as internet and other related businesses. Accordingly, these restricted businesses are operated in China through the VIEs, and rely on contractual arrangements among our PRC subsidiaries, the VIEs, and their shareholders to direct the business operations of the VIEs. Such structure enables investors to share economic interests in companies in sectors where foreign direct investment is prohibited or restricted under PRC laws and regulations. The significant VIEs and VIEs’ subsidiaries that Trip.com Group Limited consolidates under U.S. GAAP include (i) Shanghai Ctrip Commerce Co., Ltd., or Ctrip Commerce (VIE), which holds a value-added telecommunications business license and mainly provides online advertising services, (ii) Shanghai Huacheng Southwest International Travel Agency Co., Ltd., or Shanghai Huacheng (VIE), which holds a travel agency operation license and mainly provides domestic, inbound, and outbound tour services, and air-ticketing services, and (iii) Beijing Qu Na Information Technology Co., Ltd., or Qunar Beijing (VIE), which holds the licenses, approvals, and key assets such as mobile application and website that are essential to the business operations of our Qunar brand. Prior to December 2024, Chengdu Ctrip Travel Agency Co., Ltd. was another significant VIE that Trip.com Group Limited consolidated under U.S. GAAP. In December 2024, we terminated the contractual arrangements with Chengdu Ctrip Travel Agency Co., Ltd. and acquired it as our wholly-owned subsidiary.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series of contractual agreements, including powers of attorney, technical consulting and services agreements, equity pledge agreements, exclusive option agreements, and loan agreements, have been entered into by and among our PRC subsidiaries, the VIEs, and their respective shareholders. The substance of the terms contained in each set of contractual arrangements with the VIEs and their respective shareholders is substantially similar. As advised by Commerce &amp; Finance Law Offices, our PRC legal counsel, subject to the disclosure in this annual report, the terms of the contractual arrangements are valid, binding, and enforceable under currently effective PRC laws and regulations. As a result of the contractual arrangements, we are considered the primary beneficiary of the VIEs for accounting purposes and thus have consolidated the results of operations, financial position, and cash flows of the VIEs in our consolidated financial statements under U.S. GAAP. The contractual arrangements with the VIEs provide us with a “controlling financial interest” in the VIEs as defined in FASB ASC 810 by entitling us to (i) the power to direct activities of the VIEs that most significantly affect their economic performance, and (ii) the right to receive the economic benefits from the VIEs that could be significant to them. Neither Trip.com Group Limited nor its investors have an equity ownership (including foreign direct investment) in, or control through such equity ownership of, the VIEs, and the contractual arrangements are not equivalent to an equity ownership in the business of the VIEs. For more details of these contractual arrangements, see “Item 7. Major Shareholders and Related Party Transactions—B. Related Party Transactions—Arrangements with the VIEs.”</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However, the contractual arrangements may not be as effective as direct ownership in providing us with control over the VIEs and we may incur substantial costs to enforce the terms of the arrangements. As such, the VIE structure involves unique risks to investors of our Cayman Islands holding company. In addition, the legality and enforceability of the contractual agreements by and among our PRC subsidiaries, the VIEs, and their respective shareholders, as a whole, have not been tested in a court of law in China. See “Item 3. Key Information—D. Risk Factors—Risks Relating to Our Corporate Structure” for the relevant risk factors.</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their shareholders. If we or any of the VIEs are found to be in violation of any existing or future PRC laws or regulations, or fail to obtain or maintain any of the required permits or approvals, the PRC regulatory authorities would have broad discretion to take action in dealing with such violations or failures. See “Item 3. Key Information—D. Risk Factors—Risks Relating to Our Corporate Structure—PRC laws and regulations restrict foreign investment in certain businesses, and substantial uncertainties exist with respect to the application and implementation of PRC laws and regulations.”</w:t>
      </w:r>
    </w:p>
    <w:p>
      <w:pPr>
        <w:spacing w:after="0" w:line="187"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relating to doing business in China. Our business operations are primarily conducted in China, and we are subject to complex and evolving PRC laws and regulations. For example, the PRC government has issued statements and regulatory actions relating to areas such as the use of contractual arrangements in certain industries, regulatory approvals on overseas offerings and listings by, and foreign investment in, issuers with operations in China, the use of the VIEs, anti-monopoly regulatory actions, and oversight on cybersecurity and data privacy. As the regulatory developments relating to these areas may change from time to time, substantial uncertainties remain in relation to their interpretation and implementation. It also remains uncertain whether we will comply with the regulatory requirements, including but not limited to filings or approvals, from the China Securities Regulatory Commission, or the CSRC, the Cyberspace Administration of China, or the CAC, or any other PRC government authorities in all material respects. In addition, if future regulatory developments mandate clearance of cybersecurity review or other specific actions to be completed by companies listed on foreign stock exchanges, such as us, we face uncertainties as to whether such clearance can be timely obtained, or at all. As of the date of this annual report, regulatory actions relating to data security or anti-monopoly concerns in Hong Kong or Macao do not have a material impact on our ability to conduct business, accept foreign investment in the future, continue to list on a United States stock exchange, or maintain our listing status on The Stock Exchange of Hong Kong Limited, or the Hong Kong Stock Exchange. However, new regulatory actions relating to data security or anti-monopoly concerns in Hong Kong or Macao may be taken in the future, and there can be no assurance as to whether such regulatory actions may have a material impact on our ability to conduct business, accept foreign investment, continue to list on a United States stock exchange, or maintain our listing status on the Hong Kong Stock Exchange. We face risks and uncertainties associated with not only these statements and regulatory actions, but also the prospective uncertainties as to the inability of the Public Company Accounting Oversight Board, or the PCAOB, to completely inspect registered public accounting firms headquartered in the Chinese mainland (including our independent auditor). These risks may impact our ability to conduct certain businesses, accept foreign investments, or list on a United States or other exchange outside China, and could result in a material adverse change in our operations and the value of our ADSs, significantly limit or completely hinder our ability to continue to offer securities to investors, or cause the value of such securities to significantly decline or become worthless. For a detailed description of risks relating to doing business in China, please refer to the risks disclosed under “Item 3. Key Information—D. Risk Factors— Risks Relating to Multi-jurisdictional Operations.”</w:t>
      </w: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PRC government’s significant authority in regulating our operations in China and its oversight and control over offerings conducted overseas by, and foreign investment in, issuers with operations in China could significantly limit or completely hinder our ability to offer or continue to offer securities to investors. Implementation of industry-wide regulations in this nature, such as data security or anti-monopoly related regulations, may cause the value of such securities to significantly decline. In addition, risks and uncertainties arising from the legal system in China, including risks and uncertainties regarding the enforcement of laws and evolving rules and regulations in China, could result in a material adverse change in our operations and the value of our ADSs. For more details, see “Item 3. Key Information—D. Risk Factors—Risks Relating to Multi-jurisdictional Operations—The PRC government’s significant oversight and discretion over our business operations and uncertainties with respect to the PRC legal system could result in a material adverse change in our operations and the value of our ADSs and ordinary shares.”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used in this annual report, “we” or “our company” refers to Trip.com Group Limited, its subsidiaries, and, in the context of describing our operations and consolidated financial information, the VIEs and their subsidiaries, if applicable, in China, primarily including Shanghai Ctrip Commerce Co., Ltd., Shanghai Huacheng Southwest International Travel Agency Co., Ltd., and Beijing Qu Na Information Technology Co., Ltd. Investors in the ADSs are not purchasing any equity interest in the VIEs in China but instead are purchasing the equity interest in a holding company incorporated in the Cayman Islands, and may never directly hold equity interests in the VIEs in China; “China” or “PRC” refers to the People’s Republic of China, and, unless the context requires otherwise and solely for the purpose of this annual report such as describing legal or tax matters, authorities, entities, or persons, excludes the Hong Kong Special Administrative Region of the People’s Republic of China, or Hong Kong or Hong Kong S.A.R., the Macao Special Administrative Region of the People’s Republic of China, or Macao or Macao S.A.R., and Taiwan region of the People’s Republic of China; “variable interest entities” or “VIEs” refers to variable interest entities, which are companies incorporated in China that have entered into a series of contractual arrangements with their respective shareholders and our PRC subsidiaries; “Qunar” refers to Qunar Cayman Islands Limited, a Cayman Islands exempted company, and unless the context requires otherwise, includes its predecessor entities, its subsidiaries, and the variable interest entity of which Trip.com Group Limited is the primary beneficiary through Qunar Cayman Islands Limited.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Relating to the VIEs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consolidated the results of operations, financial position, and cash flows of the VIEs in our consolidated financial statements under U.S. GAAP. Net revenues contributed by the VIEs accounted for 23%, 22%, and 19% of our total net revenues for the years ended December 31, 2023, 2024, and 2025, respectively. The VIEs held 5% and 5% of our total assets as of December 31, 2024 and 2025, respectively. For more financial information relating to the VIEs, including condensed consolidating schedules of financial information of Trip.com Group Limited, our subsidiaries that are the primary beneficiaries of the VIEs, our other subsidiaries, and the VIEs and their subsidiaries, see “Item 5. Operating and Financial Review and Prospects—A. Operating Results—Financial Information Relating to the VIEs.”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Asset Flows Through Our Organization</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company has established a centralized cash management policy to direct how funds are transferred between Trip.com Group Limited, our subsidiaries, and the VIEs to improve the efficiency and ensure the security of cash management, and cash is centrally managed by the treasury. Funds are transferred among Trip.com Group Limited, our subsidiaries, and the VIEs through our cash pooling structure, intercompany loans, and deposits or entrusted loans, depending on the circumstances and taking the regulatory and taxation requirements into consideration. The ability to transfer cash and other assets within our organization may be subject to conditions and restrictions pursuant to the applicable laws and regulations. For details of the cash and asset flows through our organization and the legal restrictions, see “Item 5. Operating and Financial Review and Prospects—B. Liquidity and Capital Resources—Cash and Asset Flows Through Our Organization.”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the Chinese mainland and Hong Kong, including our independent auditor. On December 15, 2022, the PCAOB issued a report that vacated its December 16, 2021 determination and removed the Chinese mainland and Hong Kong from the list of jurisdictions where it is unable to inspect or investigate completely registered public accounting firms. As a result, we were not identified as a Commission-Identified Issuer under the HFCAA after we filed our annual reports on Form 20-F for the years ended December 31, 2022, 2023, and 2024, and we do not expect to be identified as a Commission-Identified Issuer under the HFCAA after we file this annual report on Form 20-F. If the PCAOB determines in the future that it no longer has full access to inspect and investigate completely accounting firms in the Chinese mainland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Relating to Multi-jurisdictional Operations—The PCAOB had historically been unable to inspect registered public accounting firms headquartered in the Chinese mainland (including our independent auditor). The inability of the PCAOB to inspect such registered public accounting firms headquartered in the Chinese mainland (including our independent auditor) in the past has deprived our investors of the benefits of such inspections” and “Item 3. Key Information—D. Risk Factors—Risks Relating to Multi-jurisdictional Operations—Our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Permissions and Approvals Required for Our Operations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a global company, we may be required to obtain permissions and approvals in different jurisdictions where we operate pursuant to local laws and regulations. These requirements vary depending on the jurisdiction and the nature of our operations there.</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Among the jurisdictions in which we operate, our businesses in China are primarily conducted through our PRC subsidiaries and the VIEs. Our operations in China are governed by PRC laws and regulations. As of the date of this annual report, as advised by Commerce &amp; Finance Law Offices, our PRC legal counsel, our PRC subsidiaries and the VIEs have obtained all of the requisite permissions and approvals from the PRC government authorities for our accommodation reservation, transportation ticketing, packaged-tour, and corporate travel businesses, including, among others, value added telecommunications operating licenses, travel agency operation licenses, and an insurance agency license, except for certain permissions and approvals in the Chinese mainland relating to our business of providing ancillary mobility services for transportation ticketing in the Chinese mainland, which represents a nominal portion of our transportation ticketing revenues, and subject to the uncertainties with respect to the interpretation and application of PRC laws, regulations, and policies. For details, see “Item 3. Key Information—D. Risk Factors—Risks Relating to Our Business and Industry—Any lack of requisite approvals, licenses, or permits applicable to our business or any failure to comply with applicable laws or regulations may materially and adversely affect our business, financial condition, and results of operations.” Our subsidiaries in Hong Kong also have obtained travel agency operation licenses and insurance agency licenses that are necessary for their businesses from the Hong Kong authorities, while our Macao subsidiary had substantially ceased its operations in 2023. As of the date of this annual report, we, our PRC subsidiaries, or the VIEs have not received any denial notification from the authorities in connection with the applications for the necessary permissions or approvals to conduct our business. Given the uncertainties of interpretation and implementation of the PRC laws and regulations and the enforcement practice by the government authorities, we may be required to obtain additional approvals and permissions for our business operations in the future. If we, our subsidiaries, or the VIEs do not receive or maintain any necessary permissions or approvals, inadvertently conclude that such permissions or approvals are not required, or if applicable laws, regulations, or interpretations change and we are required to obtain such permissions or approvals in the future, we cannot assure you that we will be able to obtain the necessary permissions or approvals in a timely manner, or at all, and such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such securities to significantly decline or become worthless.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Overseas Securities Offering and Listing by Domestic Companies, or the Overseas Offering and Listing Measures, which came into effect on March 31, 2023. On the same day, the CSRC also published a series of guidance rules and Q&amp;As in connection with the implementation of the Overseas Offering and Listing Measures. The Overseas Offering and Listing Measures establishes a new filing-based regime to regulate overseas offerings and listings by PRC domestic companies. According to the Overseas Offering and Listing Measures, an overseas offering of securities (including shares, depository receipts, corporate bonds convertible into shares and other securities in the nature of equity) and listing by a PRC domestic company, either in a direct or indirect manner, has to be filed with the CSRC. Failure to comply with the filing requirements may result in fines to the PRC domestic companies, the controlling shareholder, and other responsible persons. The responsible persons may be prohibited from entering the securities market by the CSRC in cases of serious violations and may be held criminally liable. As advised by Commerce &amp; Finance Law Offices, our PRC legal counsel, due to the fact that our ADSs have been listed on the Nasdaq Global Select Market and our ordinary shares have been listed on the Hong Kong Stock Exchange, we are deemed as an “Existing Issuer” pursuant to the Overseas Offering and Listing Measures and the implementation guidance, and are not required to complete the filing procedures with the CSRC for our historical securities offering. Nevertheless, in the event that we conduct any securities offerings that will be captured by the Overseas Offering and Listing Measures in the future, we will have to complete the filing procedures with the CSRC within three business days following the closing of the securities issuance or offering on the Nasdaq Global Select Market or the Hong Kong Stock Exchange, or within three business days following the submission of an application for overseas offering and listing on any other overseas market(s).</w:t>
      </w:r>
    </w:p>
    <w:p>
      <w:pPr>
        <w:spacing w:after="0" w:line="19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Therefore, in connection with our business operations and issuance or offering of securities to foreign investors, as advised by Commerce &amp; Finance Law Offices, our PRC legal counsel, under currently effective PRC laws, regulations, and rules, as of the date of this annual report, we, our PRC subsidiaries, and the VIEs (i) are not required to obtain permissions from or complete filing procedures with the CSRC pursuant to the Trial Administrative Measures of Overseas Securities Offering and Listing by Domestic Companies for our historical issuances or offerings of securities to foreign investors that have been completed before the date of implementation of the Overseas Offering and Listing Measures, but are required to go through filing procedures with the CSRC for our future issuance or offering of securities (including shares, depository receipts, corporate bonds convertible into shares, and other securities in the nature of equity) to foreign investors if we meet certain conditions set forth in the Overseas Offering and Listing Measures to be considered an indirect overseas offering and listing by a PRC domestic company, (ii) are not required to go through a cybersecurity review by the CAC for our issuance or offering of securities to foreign investors, (iii) are required to go through the examination and registration procedures with the National Development and Reform Commission, or the NDRC, for our issuance or offering of certain debt securities, as mandated by the NDRC circular, to foreign investors, and (iv) are not required to obtain any prior permission or approval from any other PRC government authorities for our issuance or offering of securities to foreign investors. If we, our subsidiaries, or the VIEs are deemed to be a critical information infrastructure operator or a network platform operator, whose network product or service purchasing or data processing activities affect or may affect national security, we would be required to go through a cybersecurity review by the CAC. As of the date of this annual report, none of our company, our subsidiaries, or the VIEs has received formal notice that it has been identified as a critical information infrastructure operator by any government authorities, nor has it become subject to a cybersecurity review initiated by the CAC based on the Cybersecurity Review Measures. As of the date of this annual report, we completed the foreign debt registrations with the NDRC and submitted filing applications with the CSRC for all debt offerings that were subject to such requirement, and have not been required to apply for, nor have we been denied, any other permission or approval with respect to our issuance or offering of securities to foreign investors.</w:t>
      </w:r>
    </w:p>
    <w:p>
      <w:pPr>
        <w:spacing w:after="0" w:line="335"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[Reserved]</w:t>
      </w:r>
    </w:p>
    <w:p>
      <w:pPr>
        <w:spacing w:after="0" w:line="130" w:lineRule="exact"/>
        <w:rPr>
          <w:rFonts w:ascii="Times New Roman" w:cs="Times New Roman" w:eastAsia="Times New Roman" w:hAnsi="Times New Roman"/>
          <w:sz w:val="18"/>
          <w:szCs w:val="18"/>
          <w:color w:val="auto"/>
        </w:rPr>
      </w:pPr>
    </w:p>
    <w:p>
      <w:pPr>
        <w:ind w:left="560" w:right="8200" w:hanging="444"/>
        <w:spacing w:after="0" w:line="401" w:lineRule="auto"/>
        <w:tabs>
          <w:tab w:leader="none" w:pos="5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right="7440" w:hanging="444"/>
        <w:spacing w:after="0" w:line="412" w:lineRule="auto"/>
        <w:tabs>
          <w:tab w:leader="none" w:pos="5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 Factors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 investment in our ADSs or ordinary shares involves significant risks. The operational and legal risks as well as the potential consequences associated with being based in and having operations in the Chinese mainland as discussed in the risk factors under “Item 3. Key Information—D. Risk Factors—Risks Relating to Our Business and Industry” also apply to operations in Hong Kong and Macao. Below is a summary of material risks we face, organized under their headings. These risks are discussed more fully in “Item 3. Key Information—D. Risk Factors.”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135" w:lineRule="exact"/>
        <w:rPr>
          <w:sz w:val="20"/>
          <w:szCs w:val="20"/>
          <w:color w:val="auto"/>
        </w:rPr>
      </w:pPr>
    </w:p>
    <w:p>
      <w:pPr>
        <w:ind w:left="1080" w:right="3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suffer if we do not successfully manage our future developments, or if we are unable to execute our strategies effectively. For more details, see “Risk Factors—Risks Relating to Our Business and Industry—Our business could suffer if we do not successfully manage our future developments, or if we are unable to execute our strategies effectively.”</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declines or disruptions in the travel industry may materially and adversely affect our business and results of operations. For more details, see “Risk Factors—Risks Relating to Our Business and Industry—General declines or disruptions in the travel industry may materially and adversely affect our business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existing relationships with ecosystem partners and strategic alliances, or unable to establish new arrangements with ecosystem partners and strategic alliances at or on favorable terms or at terms similar to those we currently have, or at all, our business, market share, and results of operations may be materially and adversely affected. For more details, see “Risk Factors—Risks Relating to Our Business and Industry—If we are unable to maintain existing relationships with ecosystem partners and strategic alliances, or unable to establish new arrangements with ecosystem partners and strategic alliances at or on favorable terms or at terms similar to those we currently have, or at all, our business, market share, and results of operations may be materially and adversely affected.”</w:t>
      </w:r>
    </w:p>
    <w:p>
      <w:pPr>
        <w:spacing w:after="0" w:line="9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compete successfully against new and existing competitors, we may lose our market share, and our business may be materially and adversely affected. For more details, see “Risk Factors—Risks Relating to Our Business and Industry—If we do not compete successfully against new and existing competitors, we may lose our market share, and our business may be materially and adversely affected.”</w:t>
      </w:r>
    </w:p>
    <w:p>
      <w:pPr>
        <w:spacing w:after="0" w:line="85"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further increase our brand recognition, we may face difficulty in maintaining existing and acquiring new users and business partners and our business may be harmed. For more details, see “Risk Factors—Risks Relating to Our Business and Industry—If we fail to further increase our brand recognition, we may face difficulty in maintaining existing and acquiring new users and business partners and our business may be harmed.”</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related to us or in general with respect to the travel industry could impair our reputation, which in turn could materially and adversely affect our business, results of operations, and price of our ADSs or ordinary shares. For more details, see “Risk Factors— Risks Relating to Our Business and Industry—Negative publicity related to us or in general with respect to the travel industry could impair our reputation, which in turn could materially and adversely affect our business, results of operations, and price of our ADSs or ordinary shares.”</w:t>
      </w:r>
    </w:p>
    <w:p>
      <w:pPr>
        <w:spacing w:after="0" w:line="8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or claims under anti-monopoly and competition laws against us may result in penalties such as fines, constraints on our business, or reputational harm. For more details, see “Risk Factors—Risks Relating to Our Business and Industry—Regulatory actions or claims under anti-monopoly and competition laws against us may result in penalties such as fines, constraints on our business, or reputational harm.”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580" w:hanging="424"/>
        <w:spacing w:after="0" w:line="312" w:lineRule="auto"/>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results are likely to fluctuate because of seasonality in the travel industry. For more details, see “Risk Factors—Risks Relating to Our Business and Industry—Our quarterly results are likely to fluctuate because of seasonality in the travel industry.”</w:t>
      </w:r>
    </w:p>
    <w:p>
      <w:pPr>
        <w:spacing w:after="0" w:line="45" w:lineRule="exact"/>
        <w:rPr>
          <w:rFonts w:ascii="Times New Roman" w:cs="Times New Roman" w:eastAsia="Times New Roman" w:hAnsi="Times New Roman"/>
          <w:sz w:val="17"/>
          <w:szCs w:val="17"/>
          <w:color w:val="auto"/>
        </w:rPr>
      </w:pPr>
    </w:p>
    <w:p>
      <w:pPr>
        <w:ind w:left="1080" w:right="2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issues in the adoption and use of artificial intelligence in our product offerings may result in reputational harm or liability. For more details, see “Risk Factors—Risks Relating to Our Business and Industry—Potential issues in the adoption and use of artificial intelligence in our product offerings may result in reputational harm or liability.”</w:t>
      </w:r>
    </w:p>
    <w:p>
      <w:pPr>
        <w:spacing w:after="0" w:line="81" w:lineRule="exact"/>
        <w:rPr>
          <w:rFonts w:ascii="Times New Roman" w:cs="Times New Roman" w:eastAsia="Times New Roman" w:hAnsi="Times New Roman"/>
          <w:sz w:val="18"/>
          <w:szCs w:val="18"/>
          <w:color w:val="auto"/>
        </w:rPr>
      </w:pPr>
    </w:p>
    <w:p>
      <w:pPr>
        <w:ind w:left="1080" w:right="140" w:hanging="424"/>
        <w:spacing w:after="0" w:line="25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satisfactory performance of our mobile platform, websites, and systems, particularly one leading to disruptions in our services, could materially and adversely affect our business and reputation, and our business may be harmed if our infrastructure or technology is damaged or otherwise fails or becomes obsolete. For more details, see “Risk Factors—Risks Relating to Our Business and Industry—Any failure to maintain satisfactory performance of our mobile platform, websites, and systems, particularly one leading to disruptions in our services, could materially and adversely affect our business and reputation, and our business may be harmed if our infrastructure or technology is damaged or otherwise fails or becomes obsolete.”</w:t>
      </w:r>
    </w:p>
    <w:p>
      <w:pPr>
        <w:spacing w:after="0" w:line="92"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substantially on the continuing efforts of our key executives, and our business may be severely disrupted if we lose their services. For more details, see “Risk Factors—Risks Relating to Our Business and Industry—Our business depends substantially on the continuing efforts of our key executives, and our business may be severely disrupted if we lose their services.”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train, and retain key individuals and highly skilled employees, our business may be adversely affected. For more details, see “Risk Factors—Risks Relating to Our Business and Industry—If we are unable to attract, train, and retain key individuals and highly skilled employees, our business may be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Multi-jurisdictional Operations</w:t>
      </w:r>
    </w:p>
    <w:p>
      <w:pPr>
        <w:spacing w:after="0" w:line="135" w:lineRule="exact"/>
        <w:rPr>
          <w:sz w:val="20"/>
          <w:szCs w:val="20"/>
          <w:color w:val="auto"/>
        </w:rPr>
      </w:pPr>
    </w:p>
    <w:p>
      <w:pPr>
        <w:ind w:left="1080" w:right="7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risks of doing business globally. For more details, see “Risk Factors—Risks Relating to Multi-jurisdictional Operations—We are subject to the risks of doing business globally.”</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international markets. If we fail to meet the challenges presented by our increasingly globalized operations, our business, financial condition and results of operations may be materially and adversely affected. For more details, see “Risk Factors— Risks Relating to Multi-jurisdictional Operations—We have limited experience in international markets. If we fail to meet the challenges presented by our increasingly globalized operations, our business, financial condition and results of operations may be materially and adversely affected.”</w:t>
      </w:r>
    </w:p>
    <w:p>
      <w:pPr>
        <w:spacing w:after="0" w:line="88"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laws across many jurisdictions, many of which are complex and evolving. For more details, see “Risk Factors—Risks Relating to Multi-jurisdictional Operations—Our business is subject to various laws across many jurisdictions, many of which are complex and evolving.”</w:t>
      </w:r>
    </w:p>
    <w:p>
      <w:pPr>
        <w:spacing w:after="0" w:line="81"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significant influence over China’s economy and significant oversight and discretion over the conduct of our business. Uncertainties with respect to the PRC government’s actions and the PRC legal system could result in a material adverse change in our operations and/or the value of our securities. For more details, see “Risk Factors—Risks Relating to Multi-jurisdictional Operations —Changes in economic and political policies of the PRC government could adversely affect our business” and “Risk Factors—Risks Relating to Multi-jurisdictional Operations—The PRC government’s significant oversight and discretion over our business operations and uncertainties with respect to the PRC legal system could result in a material adverse change in our operations and the value of our ADSs and ordinary shares.”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registered public accounting firms headquartered in the Chinese mainland (including our independent auditor). The inability of the PCAOB to inspect such registered public accounting firms headquartered in the Chinese mainland (including our independent auditor) in the past has deprived our investors of the benefits of such inspections. For more details, see “Risk Factors—Risks Relating to Multi-jurisdictional Operations—The PCAOB had historically been unable to inspect registered public accounting firms headquartered in the Chinese mainland (including our independent auditor). The inability of the PCAOB to inspect such registered public accounting firms headquartered in the Chinese mainland (including our independent auditor) in the past has deprived our investors of the benefits of such inspections.”</w:t>
      </w:r>
    </w:p>
    <w:p>
      <w:pPr>
        <w:spacing w:after="0" w:line="94"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For more details, see “Risk Factors—Risks Relating to Multi-jurisdictional Operations—Our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Corporate Structure</w:t>
      </w:r>
    </w:p>
    <w:p>
      <w:pPr>
        <w:spacing w:after="0" w:line="135" w:lineRule="exact"/>
        <w:rPr>
          <w:sz w:val="20"/>
          <w:szCs w:val="20"/>
          <w:color w:val="auto"/>
        </w:rPr>
      </w:pPr>
    </w:p>
    <w:p>
      <w:pPr>
        <w:ind w:left="1080" w:right="26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laws and regulations restrict foreign investment in certain businesses, and substantial uncertainties exist with respect to the application and implementation of PRC laws and regulations. For more details, see “Risk Factors—Risks Relating to Our Corporate Structure—PRC laws and regulations restrict foreign investment in certain businesses, and substantial uncertainties exist with respect to the application and implementation of PRC laws and regulations.”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VIEs violate our contractual arrangements with them, our business could be disrupted, our reputation may be harmed and we may have to resort to litigation to enforce our rights, which may be time-consuming and expensive. For more details, see “Risk Factors—Risks Relating to Our Corporate Structure—If the VIEs violate our contractual arrangements with them, our business could be disrupted, our reputation may be harmed and we may have to resort to litigation to enforce our rights, which may be time-consuming and expensive.”</w:t>
      </w:r>
    </w:p>
    <w:p>
      <w:pPr>
        <w:spacing w:after="0" w:line="85"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shareholders of the VIEs have potential conflict of interest with us, which may adversely affect our business. For more details, see “Risk Factors—Risks Relating to Our Corporate Structure—The principal shareholders of the VIEs have potential conflict of interest with us, which may adversely affect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Risks Relating to Our Ordinary Shares and ADSs</w:t>
      </w:r>
    </w:p>
    <w:p>
      <w:pPr>
        <w:spacing w:after="0" w:line="135" w:lineRule="exact"/>
        <w:rPr>
          <w:sz w:val="20"/>
          <w:szCs w:val="20"/>
          <w:color w:val="auto"/>
        </w:rPr>
      </w:pPr>
    </w:p>
    <w:p>
      <w:pPr>
        <w:ind w:left="1080" w:right="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prices of our listed securities have been and are likely to continue to be volatile, which could result in substantial losses to our investors. For more details, see “Risk Factors—General Risks Relating to Our Ordinary Shares and ADSs—The trading prices of our listed securities have been and are likely to continue to be volatile, which could result in substantial losses to our investors.”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 different practices as to certain matters as compared with many other companies listed on the Hong Kong Stock Exchange. For more details, see “Risk Factors—General Risks Relating to Our Ordinary Shares and ADSs—We adopt different practices as to certain matters as compared with many other companies listed on the Hong Kong Stock Exchange.”</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our ordinary shares, ADSs or other equity securities in the public market could cause the prices of our listed securities to decline. For more details, see “Risk Factors—General Risks Relating to Our Ordinary Shares and ADSs—Substantial future sales or perceived potential sales of our ordinary shares, ADSs or other equity securities in the public market could cause the prices of our listed securities to decline.”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we do not successfully manage our future developments, or if we are unable to execute our strategies effectively.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business has evolved significantly as a result of both organic growth of existing operations and acquisitions and we may experience further developments from time to time in the future. We have significantly expanded, and may further expand, our operations and workforce, as a result of the growth of our service offerings, user base, and geographic coverage. For example, we have invested in, and may continue to invest in, organic growth by rolling out new business initiatives focusing on a diverse range of areas including expanding our one-stop travel offerings and upgrading our content capabilities. For the year ended December 31, 2025, we invested RMB15.1 billion (US$2.2 billion) in product development. If such new business initiatives fail to perform as expected, our financial condition and results of operations could be adversely affected. Our growth to date has placed, and our anticipated future operations will continue to place, significant strain on our management, systems, and resources. In addition to training and managing our workforce, we will need to continue to improve and develop our financial and managerial controls and our reporting systems and procedures. We cannot assure you that we will be able to efficiently or effectively manage the developments of our operations, and any failure to do so may limit our future growth and hamper our business strategy.</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growing our global presence through a combination of owned brands, direct investments, and strategic partnerships. As we continue to increase our product and service offerings, we will further upgrade our content capabilities and deliver more appealing content in new and diverse formats, including live streaming, to improve user engagement. In addition, we will continue to invest in AI and cloud technologies, and further enhance our technology and cloud infrastructure. All these efforts will require significant managerial, financial, and human resources. We cannot assure you that we will be able to effectively manage our developments or to execute all these strategies successfully or that our new business initiatives will be successful. If we are not able to manage our growth or execute our strategies effectively, our expansion may not be successful and our business and prospects may be materially and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declines or disruptions in the travel industry may materially and adversely affect our business and results of operations.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business is significantly affected by the trends that occur in the travel industry globally, including the accommodation reservation, transportation ticketing, and packaged-tour and in-destination activity sectors. As the travel industry is highly sensitive to business and personal discretionary spending levels, it tends to decline during general economic downturns. Other trends or events that tend to reduce travel and are likely to reduce our revenues include:</w:t>
      </w:r>
    </w:p>
    <w:p>
      <w:pPr>
        <w:spacing w:after="0" w:line="8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war or terrorist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COVID-19, EVD, MERS, SARS, H1N1 flu, H7N9 flu, and avian flu, or any other serious contagious diseases;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prices in the hotel, transportation ticketing, or other travel-related sectors, which may be caused by supply chain disruptions as a result of increased oil prices, regional incidents that disrupt travel routes, and other factors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occurrence of travel-related accidents;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civil strife, or other geopolitical uncertainty;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poor weather conditions, such as hurricanes, earthquakes, or tsunamis, as well as the physical effects of climate change, which may include more frequent or severe storms, flooding, rising sea levels, water shortage, droughts, and wildfires;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travel restrictions in the world.</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could be severely and adversely affected by declines or disruptions in the travel industry and, in many cases, have little or no control over the occurrence of such events. Such events could result in a decrease in demand for our travel and travel-related products and services. This decrease in demand, depending on the scope and duration, could significantly and adversely affect our business and financial performance over the short and long term.</w:t>
      </w:r>
    </w:p>
    <w:p>
      <w:pPr>
        <w:spacing w:after="0" w:line="284"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existing relationships with ecosystem partners and strategic alliances, or unable to establish new arrangements with ecosystem partners and strategic alliances at or on favorable terms or at terms similar to those we currently have, or at all, our business, market share, and results of operations may be materially and adversely affected.</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rely on ecosystem partners, such as hotels and airlines, and other third-party agents to make their services available to users through us, and our business prospects depend on our ability to maintain and expand relationships with ecosystem partners and other third-party agents. If we are unable to maintain satisfactory relationships with our existing ecosystem partners, or if our ecosystem partners establish similar or more favorable relationships with our competitors, or if our ecosystem partners increase their competition with us through their direct sales, or if any one or more of our ecosystem partners significantly reduce participation in our services for a sustained period of time or completely withdraw participation in our services, our business, market share, and results of operations may be materially and adversely affected. To the extent any of those major or popular ecosystem partners cease to participate in our services in favor of one of our competitors’ systems or decide to require consumers to purchase services directly from them, our business, market share, and results of operations may suffer. If we cannot resolve conflicts of interest or disputes between us and any existing or prospective ecosystem partners, legal actions may be initiated by either party. Any legal proceedings or measures in response to disputes may be expensive, time-consuming, and disruptive to our operations and divert our management’s attention. We also cannot assure you that we will prevail in any of those legal proceedings or be able to prevent any similar claims or legal proceedings being initiated against us by others in the future.</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business depends significantly upon our ability to contract with hotels in advance for the guaranteed availability of certain hotel rooms. We rely on hotel partners to provide us with rooms at discounted prices. However, most of the contracts with our hotel partners must be renewed from time to time. We cannot assure you that our hotel partners will renew our contracts in the future on favorable terms or terms similar to those we have agreed to. The hotel partners may reduce the commission rates on bookings made through us. Furthermore, in order to maintain and grow our business and to effectively compete with many of our competitors in all potential markets, we will need to establish new arrangements with hotels and accommodations of all ratings and categories in our existing markets and in new markets. We cannot assure you that we will be able to identify appropriate hotels or enter into arrangements with those hotels on favorable terms, if at all. Such failure could harm the growth of our business and adversely affect our operating results and financial condition, which consequently will impact the trading price of our ADSs and ordinary shares.</w:t>
      </w:r>
    </w:p>
    <w:p>
      <w:pPr>
        <w:spacing w:after="0" w:line="192"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derive revenues and other significant benefits from our arrangements with partnered airlines. Our airline ticket partners allow us to book and sell tickets on their behalf and collect commissions on tickets booked and sold through us. We cannot assure you that the collaboration model, terms, or pricing that we currently maintain with our airline ecosystem partners will continue to remain the same. We experienced certain changes historically and our arrangements with our airline ecosystem partners may still be subject to unilateral or bilateral changes. We cannot assure you that these changes, if any, will work in our favor. Additionally, although we currently have supply relationships with these airlines, they also compete with us for ticket bookings and have entered into similar arrangements with many of our competitors and may continue to do so in the future. Such arrangements may be on better terms than we have. The loss of ecosystem partner relationships or further adverse changes in major business terms with our ecosystem partners would materially impair our operating results and financial condition as we would lose an increasingly significant source of our revenues.</w:t>
      </w:r>
    </w:p>
    <w:p>
      <w:pPr>
        <w:spacing w:after="0" w:line="17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generated a portion of our revenues through commissions from ecosystem partners that we form strategic alliances with, including our hotel partners, airline ticket partners and other ecosystem partners. We cannot assure you, however, that we will be able to successfully establish and maintain strategic alliances with third parties which are effective and beneficial for our business. Our inability to do so could have a material adverse effect on our market penetration, revenue growth, and profitability.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compete successfully against new and existing competitors, we may lose our market share, and our business may be materially and adversely affected.</w:t>
      </w:r>
    </w:p>
    <w:p>
      <w:pPr>
        <w:spacing w:after="0" w:line="5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compete primarily with other travel agencies, including local and international consolidators of hotel accommodation and airline tickets as well as traditional travel agencies. In the future, we may also face increasing competition from new travel agencies, hotels and airlines, as well as content platforms, social networks and large technology companies entering into the travel industry.</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may face more competition from hotels and airlines as they enter the discount rate market directly or through alliances with other travel consolidators. In addition, international travelers have become an increasingly important user base for us. Competitors that have formed stronger strategic alliances with international travel consolidators may have more effective channels to address the needs of cross-border travelers. The combination of these factors means that potential entrants to our industry face relatively low entry barriers. We may face more competition from technology companies with the development of AI-powered assistants and agents that can search, compare, recommend, and facilitate travel bookings directly within their proprietary platforms such as search engines. These offerings may reduce the number of consumers choosing to visit dedicated online travel platforms, reducing user traffic and resulting engagement with our platforms. In addition, the development of AI technologies may lower the barrier of entry and enable competitors to potentially replicate or improve upon the kind of functions we offer. Suppliers that currently participate within our ecosystem may seek to leverage AI tools to increase their direct selling efforts, change their distribution strategies in ways that disadvantage us, and renegotiate the terms of their collaboration with us. Furthermore, widespread adoption of agentic AI technologies could change how travelers search for, plan and book travel, which may reduce demand for our services. If we are not able to effectively respond to the above industry changes and leverage AI to improve the quality of our own offerings, our business, results of operations, and profit margins may be materially and adversely affected. For risks related to our adoption of AI to improve our own offerings, see “Item 3. Key Information—D. Risk Factors—Risks Relating to Our Business and Industry—Potential issues in the adoption and use of artificial intelligence in our product offerings may result in reputational harm or liability.”</w:t>
      </w:r>
    </w:p>
    <w:p>
      <w:pPr>
        <w:spacing w:after="0" w:line="18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 past, certain competitors launched aggressive advertising campaigns and, special promotions, and engaged in other marketing activities to promote their brands, acquire new users, or increase their market shares. In response to such competitive pressure, we took and may continue to take similar measures and as a result would incur significant expenses, which in turn could negatively affect our operating margins in the quarters or years when such promotional activities are carried out. In addition, some of our existing and potential competitors may have competitive advantages, such as a significantly larger active user base on mobile or other online platforms, greater financial, marketing and strategic relationships, alliances or other resources or name recognition and technology capabilities, and may be able to imitate and adopt our business model. In particular, other major internet platforms may benefit from the existing user base of their other services. These platforms can utilize the traffic they already obtain and direct the users from their other service offerings to their travel services and further achieve synergies effects. Furthermore, in order to attract and retain users and compete against our competitors, we have deployed significant resources in research and development to enhance our AI and cloud technologies. However, we cannot assure you that the effectiveness of our data analytics capabilities and technologies will be comparable or superior to that of our competitors at all times. If any of our competitors provides comparable or better content feed to the users on their platforms, or if we are unable to provide sufficient quality content to our users’ satisfaction leveraging our data analytics capabilities, we may suffer a decline in our user traffic. We cannot assure you that we will be able to successfully compete against new or existing competitors. In the event we are not able to compete successfully, our business, results of operations, and profit margins may be materially and adversely affected.</w:t>
      </w:r>
    </w:p>
    <w:p>
      <w:pPr>
        <w:spacing w:after="0" w:line="30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further increase our brand recognition, we may face difficulty in maintaining existing and acquiring new users and business partners and our business may be harmed.</w:t>
      </w:r>
    </w:p>
    <w:p>
      <w:pPr>
        <w:spacing w:after="0" w:line="51"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We believe that maintaining and enhancing our brands depends in part on our ability to grow our user base and obtain new business partners. Some of our potential competitors already have well-established brands in the travel industry. The successful promotion of our brands will depend largely on our ability to maintain a sizeable and active user base, maintain relationships with our business partners, provide high-quality user support, properly address user needs and handle user complaints, and organize effective marketing and advertising programs. We are also subject to reputational risks arising from user complaints. Users may raise complaints against us if they are dissatisfied with the travel products and services provided to them. If we do not resolve the complaints effectively in a timely manner, our users may reduce their use of our platform and services, and may demand refund or even further compensation from us by all practicable means, which could harm our reputation and brand image if these complaints are brought to public sight, and may materially and adversely affect our business, financial condition, and results of operations. If our user base significantly declines or grows more slowly than our key competitors, the quality of our user support substantially deteriorates, or our business partners cease to do business with us, we may not be able to maintain and promote our brands in a cost-effective manner, and our business may be harmed.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related to us or in general with respect to the travel industry could impair our reputation, which in turn could materially and adversely affect our business, results of operations, and price of our ADSs or ordinary shares.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reputation of our brands is critical to our business and competitiveness. We have experienced a considerable amount of negative publicity following certain incidents, including but not limited to the initiation of an investigation from the State Administration for Market Regulation of the People’s Republic of China, or the SAMR. This has adversely impacted our brand image and public perception. Negative publicity with respect to us or the travel industry in general, from time to time, whether or not we are at fault, including but not limited to those relating to our business, products and services, user experiences, employee relationships and welfare, compliance with law, financial condition or prospects, whether with or without merit, could impair our reputation and adversely affect our business and operating results. Existing and prospective users may be reluctant to engage in transactions with us if there is any negative publicity in connection with the use of our services or products, the operation of our business, and other aspects about us. In addition, the negative publicity of any of our brands may extend far beyond the brand involved, especially due to our comprehensive presence in the travel industry in general, affecting some or all of our other brands. Furthermore, negative publicity about other market players or isolated incidents, regardless of whether or not it is factually correct or whether we have engaged in any inappropriate activities, may result in negative perception of our industry as a whole and undermine the credibility we have established. Negative developments in the market may lead to tightened regulatory scrutiny and limit the scope of our permissible business activities. We could lose significant number of users due to negative publicity with respect to us or the travel industry in general.</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rely on performance and brand marketing channels to generate a significant amount of traffic to our platforms and grow our business. From time to time, we hire brand ambassadors to market our brands or our products and services that are important to our business. However, we cannot assure you that the endorsement from our brand ambassadors or related advertisements will remain effective, that the brand ambassadors will remain popular or their images will remain positive and compatible with the messages that our brand and products aim to convey. Furthermore, we cannot assure you that we can successfully find suitable celebrities to replace any of our existing brand ambassadors if any of their popularities decline or if the existing brand ambassadors are no longer able or suitable to continue the engagement, and termination of such engagements may have a significant impact on our brand images and the promotion or sales of our products.</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any of the foregoing were to occur, our business, financial condition, results of operations, and price of our ADSs or ordinary shares could be materially and adversely affected. We may incur additional costs to recover from the impact caused by the negative publicity, which may divert management’s attention and other resources from our business and operations.</w:t>
      </w:r>
    </w:p>
    <w:p>
      <w:pPr>
        <w:spacing w:after="0" w:line="280"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actions or claims under anti-monopoly and competition laws against us may result in penalties such as fines, constraints on our business, or reputational harm.</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face uncertainties with respect to the interpretation and implementation of anti-monopoly and competition laws in the jurisdictions where we operate. Despite our compliance efforts, we cannot assure you that our business operations will comply with such laws and regulations in all respects, and any failure or perceived failure by us to comply with such laws and regulations may result in governmental investigations, fines, and/or other penalties on us. For example, in January 2026, we received notice that the SAMR commenced an investigation into whether we have abused or are abusing a dominant market position to engage in monopolistic conduct pursuant to the PRC Anti-Monopoly Law. As of the date of this annual report, the investigation is ongoing and we are cooperating with the SAMR’s investigation. We are unable to predict, however, the timing, outcome, or consequences of the investigation, or estimate the possible loss, if any, associated with the investigation. The SAMR’s investigation findings could result in a significant fine, other financial penalties and/or changes to our business practices, and may have a material adverse effect on our consolidated financial position, results of operations, or cash flows.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There have also been local regulatory meetings or actions involving us in China. For example, (i) as publicly reported, on August 5, 2025, the Administration for Market Regulation of Guizhou Province held a meeting with five tourism-related platform companies, including us, demanding strict compliance with laws and regulations, including PRC Price Law, PRC Anti-Monopoly Law, and Regulation on Marking Prices Clearly and Prohibiting Price Fraud; (ii) as publicly reported, on September 4, 2025, the Administration for Market Regulation of Zhengzhou City issued a rectification notice, finding that we violated PRC E-Commerce Law and the Interim Provisions on Anti-Unfair Online Competition by imposing unreasonable restrictions on the transactions and transaction prices of business operators on the platform through service agreements, transaction rules, and technical means, and further held a meeting with us on September 17, 2025 about rectification, including revising contract terms and optimizing price adjustment tool; (iii) on September 17, 2025, the Administration for Market Regulation of Guiyang City issued a Notice of Inquiry about how we managed the platform hotel operators’ operations; and (iv) as publicly reported, on March 23, 2026, the Administration for Market Regulation of Beijing City, together with the Beijing Municipal Commerce Bureau and the Beijing Municipal Culture and Tourism Bureau, held a meeting with twelve platform companies, including us. The Beijing municipal regulators provided administrative guidance to these platform companies on identified competition issues, including infringement of business operators’ autonomy, unreasonable platform rules, false or misleading promotional practices, and deficient compliance and operational management systems, and set out rectification requirements.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anti-monopoly and anti-unfair competition regulatory regime applicable to our business prohibits a range of anti-competitive practices, including illegal concentration of undertakings, monopoly agreements, unfair pricing, and abusive behaviors by companies with dominant market position. While enforcement approaches can differ, these regulatory frameworks aim to maintain fair market access and protect consumer welfare. Over the past few years, there has been a trend that the global anti-monopoly and anti-unfair competition regime gradually shifts toward a broader “pro-competition” stance that integrates industrial policy, national security, and digital sovereignty. During this period, the Chinese government has further enhanced the modernization of its regime by promulgating the Anti-Monopoly Guidelines for the Internet Platform Economy Sector, placing leading internet companies under closer scrutiny, and amending the PRC Anti-Monopoly Law and PRC Anti-Unfair Competition Law, together with other efforts in legislation, regulation, and enforcement. These laws and regulations strengthen enforcement against monopolistic and unfair competition behaviors and increase legal liabilities for violations. In particular, if a business operator violates the PRC Anti-Monopoly Law, such as concluding and implementing monopoly agreements, abusing dominant market position, or carrying out concentration of undertakings that has or may have the effect of eliminating or restricting competition, it may be subject to an order to cease the violation, confiscation of illegal gains, and a fine of up to 10% of its preceding year’s sales revenue. Where the violation involves extremely serious circumstances, extremely negative impact, or grave consequences, a fine of 2 to 5 times the amount calculated based on the aforementioned percentage may be imposed. Moreover, if the monopolistic behaviors carried out by a business operator harm the public interest, public prosecutors may bring a civil public interest lawsuit in accordance with the law.</w:t>
      </w:r>
    </w:p>
    <w:p>
      <w:pPr>
        <w:spacing w:after="0" w:line="1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event that the regulatory authorities identify any non-compliant conduct and determine that we engage in monopolistic activities, we may, in addition to the liabilities prescribed under the PRC laws, also be exposed to (i) adverse impacts on our reputation, (ii) adverse impacts on our business operation if we have to amend or adjust our current business model, and (iii) potential breach of contract claims from counterparties arising from such violations. Furthermore, we may need to devote significant resources to comply with increasingly stringent regulatory requirements for platform operators, such as the requirements relating to e-commerce, consumer protection, anti-monopoly, anti-unfair competition, data security, prices and taxes, etc. Any of the foregoing could have a material adverse effect on our business operation and financial condition.</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to regulatory enforcement, we face exposure to private civil claims. The PRC Anti-Monopoly Law and PRC Anti-Unfair Competition Law provide a private right of action for competitors, business partners and customers to bring anti-monopoly and anti-unfair competition claims. In recent years, an increased number of companies have been exercising such right. Our competitors, business partners and customers may resort to and may make public allegations or launch media campaigns against us, submit complaints to regulators, or initiate private litigation targeting our and our business partners’ prior and current business practices. For example, it has been publicly reported that in December 2025, the Yunnan Provincial Tourism Homestay Industry Association announced a decision to initiate an anti-monopoly effort against certain online travel agency platforms, alleging that these platforms leveraged their dominant market position to engage in unfair competition practices. We were specifically named in that decision. The announced effort includes filing a collective complaint with relevant regulatory authorities on behalf of its members. The association also reserved the right to initiate anti-monopoly litigation. As of the date of this annual report, we are not aware that any lawsuit has been filed against us in connection with that decision. In the wake of the SAMR administrative investigation and potential penalties, we may face increased challenges in defending ourselves in existing and future lawsuits brought against us pursuant to the PRC Anti-Monopoly Law and other relevant regulations in this respect.</w:t>
      </w:r>
    </w:p>
    <w:p>
      <w:pPr>
        <w:spacing w:after="0" w:line="19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Allegations, claims, investigations, regulatory interviews, unannounced inspections, or other actions or proceedings under the anti-monopoly and anti-unfair competition laws and regulations, regardless of their merits, have caused, and may continue to cause, us to be subject to administrative penalties or liabilities, such as profit disgorgement and heavy fines, significant amounts of damage payments or settlements, and constraints on our investments and acquisitions. We may be required to make further changes to some of our business practices and divest certain businesses, which could decrease the popularity of our businesses, products and services, and cause our revenue and net income to decrease materially. For details, see “Item 4. Information on the Company—B. Business Overview—Government Regulations—PRC Regulations—Regulations Relating to Anti-Monopoly and Anti-Unfair Competition.” Any of the above circumstances could materially and adversely affect our business, operations, reputation, brand, and the trading prices of our listed securities.</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To comply with existing laws and regulations and new laws and regulations that may be enacted in the future, as well as administrative guidance and requirements by regulators from time to time, we may need to devote significant resources and efforts, including changing our business and pricing practices, restructuring our businesses and adjusting our investment activities, which may materially and adversely affect our business, growth prospects, reputation and the trading prices of our listed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are likely to fluctuate because of seasonality in the travel industry.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business experiences fluctuations, reflecting seasonal variations in demand for travel services. Consequently, our results of operations may fluctuate from quarter to quarter. For example, the third quarter of each year generally contributes the highest portion of our annual net revenues primarily due to the strong demand for both leisure and business travel activities during the summer.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issues in the adoption and use of artificial intelligence in our product offerings may result in reputational harm or liability.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Technology is essential to our business success. We have integrated artificial intelligence, or AI, and data analytics into our business operations. For example, WenDao/TripGenie and Trip. Planner are some of our products that leverage our AI capabilities, which transform engagement and interactions with our users in connection with itinerary planning, information gathering, and other aspects. As with many disruptive innovations, AI presents risks and challenges that could affect its adoption, and, therefore, our business. The successful development, deployment and ongoing operation of AI-enabled features require significant investment and specialized personnel, and depends on the effective design, testing, monitoring and updating of models and related systems. Our products and services based on AI may not be adopted by our users or customers or yield us the return that adequately compensates for our prior investments. AI algorithms may be flawed. Datasets may be insufficient or contain biased information. Inappropriate or controversial data practices by us or others, including the inappropriate collection of data and potential data misuse, could impair the acceptance of our AI solutions. AI-enabled features, particularly generative AI tools, may produce outputs that are incomplete, inaccurate, misleading or otherwise inappropriate, including with respect to itinerary planning, product availability, fare rules, cancellation policies, or other travel-related information. If AI-enabled outputs are incorrect or perceived as unreliable, we may face increased customer complaints and loss of trust in our brands and platforms. If we fail to effectively address these challenges, we may not be successful in adopting, implementing or incorporating artificial intelligence effectively into our product offerings, and we may not be able to adopt artificial intelligence as effectively as our competitors.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AI-related services may subject us to new or enhanced regulatory requirements, including additional governmental or regulatory scrutiny. The regulations governing AI technologies are relatively new and rapidly evolving. A number of jurisdictions where we operate have implemented new regulations relating to AI technologies, such as a series of regulations implemented by the PRC government requiring providers of generative artificial intelligence services and algorithmic recommendation services to complete filings or registrations for those services that might shape public opinions. For details, see “Item 4. Information on the Company—B. Business Overview—Government Regulations—PRC Regulations—Regulations Relating to Generative AI.” We have completed certain filings or registrations for our Ctrip mobile application and relevant AI products, such as WenDao AI assistant and Trip.Planner, and we will make further efforts to complete the other necessary filings or registrations for our various products and services. There is no guarantee that we will be able to complete the required filings or registrations in time or at all. In addition, the EU Artificial Intelligence Act was signed by European Union legislators in June 2024, which offers a classification for AI systems with different requirements and obligations tailored to a “risk-based approach.”</w:t>
      </w:r>
    </w:p>
    <w:p>
      <w:pPr>
        <w:spacing w:after="0" w:line="194"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The interpretation and implementation of the existing laws remain uncertain with respect to the application of AI. Therefore, AI-generated content could lead to copyright and other legal disputes for which legal liability may not be clearly prescribed by law. Such deficiencies could undermine the decisions, predictions or analysis produced by AI applications, subjecting us to legal liability and potential harm to our brand or reputation. We may not be able to identify all new regulations or new interpretations and implementations of existing regulations that are applicable to our use of AI and other technologies across the multiple jurisdictions where we operate, or do so in a timely manner. Furthermore, because AI technology is highly complex and rapidly developing, laws and regulations regarding AI may not always address the latest issues in AI and it is not possible to predict all of the legal or regulatory risks that may arise relating to the adoption and use of AI. If we fail to meet legal and regulatory requirements, we may be subject to penalties. Moreover, some AI scenarios present ethical issues. If we enable or offer AI solutions that are controversial because of their impact on human rights, privacy, employment, or other social issues, we may experience reputational harm or be exposed to liability.</w:t>
      </w:r>
    </w:p>
    <w:p>
      <w:pPr>
        <w:spacing w:after="0" w:line="277"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maintain satisfactory performance of our mobile platform, websites, and systems, particularly one leading to disruptions in our services, could materially and adversely affect our business and reputation, and our business may be harmed if our infrastructure or technology is damaged or otherwise fails or becomes obsolete.</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infrastructure, including our mobile platform, websites, and systems, are critical to the success of our business. Any system interruptions that result in the unavailability or slowdown of our mobile platform, websites, or other systems and the disruption in our services could reduce the volume of our business and make us less attractive to users. Our customer service centers are equipped with extensive computer and communications systems. Our technology platform and computer and communication systems are vulnerable to damage or interruption from human error, computer viruses, fire, flood, power loss, telecommunications failure, physical or electronic break-ins, hacking or other attempts at system sabotage, vandalism, natural disasters, and other similar events. We have implemented extensive measures to ensure prompt responses to any network shutdown, system failure, or similar incidents in the future, and to continue to update our security protocol to protect our systems from any human error, third-party intrusions, viruses or hacker attacks, information or data theft, or other similar activities. We did not experience any material cybersecurity incident in 2023, 2024, or 2025 and up to the date of this annual report. However, we cannot assure you that unexpected interruptions to our systems will not occur in the future. We do not carry business interruption insurance to compensate us for losses that may occur as a result of such disruptions. In addition, any such future occurrences could reduce user satisfaction levels, damage our reputation and materially and adversely affect our business.</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use an internally developed booking software system that supports nearly all aspects of our booking transactions. Our business may be harmed if we are unable to upgrade our systems and infrastructure quickly enough to accommodate future traffic levels, avoid obsolescence or successfully integrate any newly developed or purchased technology with our existing system. Capacity constraints could cause unanticipated system disruptions, slower response times, poor user support, impaired quality and speed of reservations and confirmations, and delays in reporting accurate financial and operating information. These factors could cause us to lose users and ecosystem partners, which would have a material adverse effect on our results of operations and financial condition.</w:t>
      </w:r>
    </w:p>
    <w:p>
      <w:pPr>
        <w:sectPr>
          <w:pgSz w:w="11900" w:h="16838" w:orient="portrait"/>
          <w:cols w:equalWidth="0" w:num="1">
            <w:col w:w="11120"/>
          </w:cols>
          <w:pgMar w:left="320" w:top="482"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our future success will depend on our ability to adapt our products and services to the changes in technologies and internet user behavior. We ensure the interoperability of our services by optimizing our mobile apps and websites for different devices and operating systems and implementing cloud technology to support unified backend operation of our platform. Any changes in such mobile operating systems or devices that degrade the functionality of our services or give preferential treatment to competitive services could adversely affect usage of our services. Further, if the number of platforms for which we develop our services increases, which is typically seen in a dynamic and fragmented mobile services market, it will result in an increase in our costs and expenses. In order to deliver high-quality services, it is important that our services work well across a range of mobile operating systems, networks, mobile devices, and standards that we do not control. If we fail to develop products and technologies that are compatible with all mobile devices and operating systems, or if the products and services we develop are not widely accepted and used by users of various mobile devices and operating systems, we may not be able to penetrate the mobile internet market. In addition, the widespread adoption of new internet technologies or other technological changes could require significant expenditures to modify or integrate our products or services. If we fail to keep up with these changes to remain competitive, our future success may be adversely affected.</w:t>
      </w:r>
    </w:p>
    <w:p>
      <w:pPr>
        <w:spacing w:after="0" w:line="29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key executives, and our business may be severely disrupted if we lose their services.</w:t>
      </w:r>
    </w:p>
    <w:p>
      <w:pPr>
        <w:spacing w:after="0" w:line="5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Our future success depends heavily upon the continued services of our key executives. We rely on their expertise in business operations, finance, and travel services and on their relationships with our ecosystem partners and shareholders. If one or more of our key executives are unable or unwilling to continue in their present positions, we may not be able to easily replace them. In that case, our business may be severely disrupted. We may incur additional expenses to recruit and train personnel and our financial condition and results of operations may be materially and adversely affected.</w:t>
      </w:r>
    </w:p>
    <w:p>
      <w:pPr>
        <w:spacing w:after="0" w:line="16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if any of these key executives joins a competitor or forms a competing company, we may lose users and ecosystem partners. Each of our executive officers has entered into a service contract with us that contains confidentiality and non-competition provisions. If any disputes arise between our executive officers and us, we cannot assure you of the extent to which any of these agreements would be enforced.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train, and retain key individuals and highly skilled employees, our business may be adversely affected.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our business continues to expand, we will need to hire additional employees, including ecosystem partner management personnel to maintain and expand our ecosystem partner network, information technology and engineering personnel to maintain and expand our mobile platform, websites, customer service centers and systems, and customer service representatives to serve an increasing number of users. If we are unable to identify, attract, hire, train, and retain sufficient employees in these areas, users of our mobile platform, websites, and customer service centers may not have satisfactory experiences and may turn to our competitors, which may adversely affect our business and results of operations.</w:t>
      </w: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international operations, including but not limited to, operational risk, compliance risk, and reputational risk.</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expanded our business overseas over the years and currently operate our business in many foreign jurisdictions, including without limitation Asian and European countries. As we plan to further expand our global presence over the long term by means of partnerships and investments, we are exposed to a variety of risks in our business operations, including operational risk, compliance risk, and reputational risk. Compliance with foreign laws and regulations that apply to our international operations increases our cost of doing business in foreign jurisdictions. These laws and regulations relate to, among others, data privacy, customer protection (including those relating to online platform and specific service sectors), labor relations, tax, foreign currency, anti-monopoly, anti-unfair competition, prohibitions on payments to governmental officials, market access, import, export and general trade (including but not limited to economic sanctions and embargos). Violations of these laws and regulations could result in fines and penalties, criminal sanctions against us, our officers or our employees, and prohibitions on the conduct of our business, including the loss of trade privileges. Any such violations could result in prohibitions on our ability to offer our products and services in one or more countries, could delay or prevent potential acquisitions, and could also materially damage our reputation, our brand, our international expansion efforts, our ability to attract and retain employees, our business, and our operating results. Compliance with these laws requires a significant amount of management attention and effort, which may divert management’s attention from running our business operations and could harm our ability to grow our business, or may increase our expenses as we engage specialized or other additional resources to assist us with our compliance efforts. Our success depends, in part, on our ability to anticipate these risks and manage these difficulties. We monitor our operations and investigate allegations of improprieties relating to transactions and the way in which such transactions are recorded. Where circumstances warrant, we provide information and report our findings to government authorities, but no assurance can be given that action will not be taken by such authorities. In addition, as our business and operations expand in international markets, we could be exposed to increased foreign exchange risks for other currencies.</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82"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sensitive to global economic conditions. A severe or prolonged downturn in the global economy may have a material and adverse effect on our business, and may materially and adversely affect our growth and profitability.</w:t>
      </w:r>
    </w:p>
    <w:p>
      <w:pPr>
        <w:spacing w:after="0" w:line="5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have businesses in diverse global markets and are subject to risks associated with doing business internationally. Our business, financial condition and results of operations may be influenced to a significant degree by economic, geopolitical and social conditions, and government policies related to the markets where we operate. A general slowdown in the global economy, increased volatility, or inflation could adversely affect our business, financial condition and results of operations. Changes in consumer behavior due to adverse economic conditions may also negatively impact us as such developments could lead to a decrease in consumer spending and reduction in demand for our products and services, which may adversely affect our business, financial condition, results of operation or competitive position.</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Economic growth in the various markets where we operate has been uneven, both geographically and among various sectors of the economy. Any adverse changes in economic conditions in the markets where we operate or neighboring regions, or in the policies of the governments or of the laws and regulations in each respective market could have a material adverse effect on the overall economic growth of those markets. Such developments could adversely affect our business, financial condition and results of operations, lead to a reduction in demand for our products and services, and adversely affect our competitive position.</w:t>
      </w:r>
    </w:p>
    <w:p>
      <w:pPr>
        <w:spacing w:after="0" w:line="287"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political tensions may adversely impact our business, financial condition, and results of operations.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have been heightened tensions in international economic relations in recent years and these tensions may continue to escalate in the future. These tensions have resulted in changes in international trade policies and, as they further escalate, may result in additional barriers to trade. For example, the tensions between the United States and China in recent years have led to impacts on both diplomatic and economic ties between the two countries and created uncertainties for the international economy as a whole. These tensions have also led to complex, rapidly evolving and highly targeted economic sanctions and export control measures imposed by jurisdictions including the United States, the European Union, the United Kingdom and others. For example, on September 29, 2025, the U.S. Department of Commerce’s Bureau of Industry and Security issued an immediately effective interim final rule that, among other things, extends Entity List and Military End-User List restrictions to entities that are 50% or more owned, directly or indirectly, by parties designated on those lists. This rule is currently suspended for one year. However, if implemented, this rule is expected to have a significant impact on the targeted countries, markets and/or entities, making compliance more complicated and time-consuming and increasing the risk of inadvertent omissions. On October 23, 2025, the European Union adopted its 19th package of economic sanctions against Russia, which explicitly prohibits the provision of services directly related to tourism activities in Russia and has broad applicability, including to certain entities incorporated outside the European Union.</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Given the global nature of our travel platforms, our business involves operations, merchants, and consumers located in, or associated with, regions subject to complex or evolving sanctions. We have adopted measures to mitigate the risks associated with the complex economic and trade restrictions, as well as export control regimes. However, we may incur significant costs related to current, new or changing sanctions, embargos, export control programs or other restrictions and disclosure requirements, as well as negative publicity, investigations, penalties, fees, settlements or other regulatory actions, which may be difficult to predict. As we work with a wide range of business partners in different countries in the world, should any of our major business partners become subject to sanctions or restrictions by the U.S. or other jurisdictions, our business may also be adversely affected. Any of the above may cause harm to our business reputation and our relationship with business partners and investors, which may adversely affect our business, results of operations, and the trading prices of our listed securities.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to trade and sanctions risks, the U.S. government has adopted measures aiming to prohibit or restrict U.S. investment in China-associated companies that operate in certain industries. As the regulations of U.S. outbound investments are relatively new and may further evolve, it is possible that the U.S. government may take further actions to amend, expand, or otherwise modify existing outbound investment prohibitions and restrictions. Moreover, the possibility of the U.S. government delisting China-associated companies from U.S. stock exchanges, as previously reported in the media, creates uncertainty regarding our ability to maintain our Nasdaq listing.</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Given the above, rising political tensions could reduce levels of trades, investments, technological exchanges, and other economic activities, which would materially and adversely affect the global economic conditions and the stability of global financial markets. These developments may also lead to increased compliance costs, operational disruptions, and potential constraints on our access to capital markets. Any further escalation of international tensions may have a negative impact on the general, economic, political, and social conditions of the countries where we operate and, in turn, adversely impact our business, financial condition, and results of operations.</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fear of spread of contagious diseases could disrupt the travel industry and our operations, which could materially and adversely affect our business, financial condition, and results of operations.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Global pandemics, epidemics, or fear of spread of contagious diseases, such as Ebola virus disease (EVD), coronavirus disease 2019 (COVID-19), Middle East respiratory syndrome (MERS), severe acute respiratory syndrome (SARS), H1N1 flu, H7N9 flu, and avian flu, could disrupt the travel industry and our business operations , reduce or restrict demand for travel and travel-related products and services, or result in regional or global economic distress, which may materially and adversely affect our business, financial condition, and results of operations. Any one or more of these events or recurrences may adversely affect our sales results, even for a prolonged period of time, which could materially and adversely affect our business, financial condition, and results of operations.</w:t>
      </w:r>
    </w:p>
    <w:p>
      <w:pPr>
        <w:spacing w:after="0" w:line="187" w:lineRule="exact"/>
        <w:rPr>
          <w:sz w:val="20"/>
          <w:szCs w:val="20"/>
          <w:color w:val="auto"/>
        </w:rPr>
      </w:pPr>
    </w:p>
    <w:p>
      <w:pPr>
        <w:ind w:left="120" w:right="400" w:firstLine="432"/>
        <w:spacing w:after="0" w:line="255" w:lineRule="auto"/>
        <w:rPr>
          <w:sz w:val="20"/>
          <w:szCs w:val="20"/>
          <w:color w:val="auto"/>
        </w:rPr>
      </w:pPr>
      <w:r>
        <w:rPr>
          <w:rFonts w:ascii="Times New Roman" w:cs="Times New Roman" w:eastAsia="Times New Roman" w:hAnsi="Times New Roman"/>
          <w:sz w:val="18"/>
          <w:szCs w:val="18"/>
          <w:color w:val="auto"/>
        </w:rPr>
        <w:t>During the COVID-19 pandemic, we experienced a significant decline in travel demand resulting in significant user cancelations and refund requests and reduced new orders relating to international and domestic travel and lodging. The supply of domestic transportation tickets and international air tickets was also adversely and significantly affected in response to comprehensive containment measures. We actively assisted our users in their cancelation and refund requests and worked with our ecosystem partners to prepare for difficult market conditions, for which we incurred significant cash outflows. Our ecosystem partners’ abilities to timely deliver products and services and respond to rescheduling or cancelation requests were adversely affected for similar reasons. In response to the COVID-19 pandemic, we swiftly adopted cost control measures to mitigate the significant slowdown in user demand.</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Since the beginning of 2023, the situation has significantly improved and normalized. However, any future outbreak of contagious diseases or similar adverse public health developments, extreme unexpected bad weather, or severe natural disasters would affect our business and operating results. Ongoing concerns regarding contagious disease or natural disasters, particularly their effect on travel, could adversely affect our users’ desire to travel. If there is a recurrence of an outbreak of certain contagious diseases or natural disasters, travel to and from affected regions could be curtailed. Public policy regarding, or governmental restrictions on, travel to and from these and other regions on account of an outbreak of any contagious disease or occurrence of natural disasters could materially and adversely affect our business and operating results.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again be subject to legal proceedings, regulatory actions, or claims and could be adversely affected by unfavorable results of legal proceedings or regulatory actions.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various legal proceedings and regulatory actions, including litigation and government investigations, and claims that have arisen in the ordinary course of business and have not yet been fully resolved. For example, in January 2026, we received notice that the SAMR commenced an investigation into whether we have abused or are abusing a dominant market position to engage in monopolistic conduct pursuant to the PRC Anti-Monopoly Law. As of the date of this annual report, the investigation is ongoing and we are cooperating with the SAMR’s investigation. New legal or regulatory proceedings and claims may arise in the future. The existence of such proceedings and claims may harm our reputation and business, and adversely affect the trading price of our ADSs.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Shareholders of public companies have often brought securities class action suits against companies following negative news or periods of instability in the market price of their securities. For example, in March 2026, we and certain of our current officers and directors were named as defendants in a putative securities class action filed in the United States District Court for the Eastern District of New York, captioned </w:t>
      </w:r>
      <w:r>
        <w:rPr>
          <w:rFonts w:ascii="Times New Roman" w:cs="Times New Roman" w:eastAsia="Times New Roman" w:hAnsi="Times New Roman"/>
          <w:sz w:val="18"/>
          <w:szCs w:val="18"/>
          <w:i w:val="1"/>
          <w:iCs w:val="1"/>
          <w:color w:val="auto"/>
        </w:rPr>
        <w:t>De Wilde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Trip.com Group Limited et al.</w:t>
      </w:r>
      <w:r>
        <w:rPr>
          <w:rFonts w:ascii="Times New Roman" w:cs="Times New Roman" w:eastAsia="Times New Roman" w:hAnsi="Times New Roman"/>
          <w:sz w:val="18"/>
          <w:szCs w:val="18"/>
          <w:color w:val="auto"/>
        </w:rPr>
        <w:t>, Case No. 2:26-cv-01420-ST (E.D.N.Y.). The plaintiff in this case makes allegations arising out of the January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we received that the SAMR had commenced an investigation of us under the PRC Anti-Monopoly Law. Because of that notice, the plaintiff alleges that certain statements in our annual reports for the fiscal year ended December 31, 2023 and 2024, respectively, were false or misleading, in violation of Sections 10(b) and 20(a) of the U.S. Securities Exchange Act of 1934, and Rule 10b-5 promulgated thereunder. As the case remains in its preliminary stage, we are unable to predict its timing, outcome, or consequences, and cannot conclude at this point whether we will be subject to any liability or damages. We may continue to be the target of securities litigation in the future.</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Regardless of the merits of particular claims, legal proceedings and regulatory actions may result in reputational harm, be expensive, time consuming, and disruptive to our operations and distracting to management. In the event that we do not prevail or we enter into settlement arrangements in any of these proceedings or investigations, we may incur significant expenses which may materially adversely affect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using our intellectual property, which may harm our business and expose us to litigation.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regard our domain names, trade names, trademarks, patents, proprietary know-how, and similar intellectual properties as critical to our success. We try to protect our intellectual property rights by relying on intellectual property protection laws, confidentiality laws, and confidentiality contracts. However, the provisions of such laws and contracts may not provide us with sufficient protection, and legal proceedings to protect our intellectual properties from infringement could be difficult, time-consuming, and expensive. In addition, as our business operations further evolve globally, we may not be able to enforce our intellectual property rights throughout the world, which may in turn adversely impact our international operations and business. We may encounter significant problems in protecting and enforcing intellectual property rights in certain foreign jurisdictions. The legal systems of certain countries do not favor the enforcement of intellectual property protection, which could make it difficult for us to stop the infringement or misappropriation of our intellectual property rights. Proceedings to enforce our proprietary rights in foreign jurisdictions could result in substantial costs and divert our efforts and attention from other aspects of our business.</w:t>
      </w:r>
    </w:p>
    <w:p>
      <w:pPr>
        <w:spacing w:after="0" w:line="188"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steps we have taken may be inadequate to prevent the misappropriation of our proprietary technology. Any misappropriation could have a negative effect on our business and operating results. Furthermore, we may need to go to court to enforce our intellectual property rights. Litigation relating to our intellectual property might result in substantial costs and diversion of resources and management attention.</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services from third parties to certain extent to carry out our business and to deliver our products to users, and if there is any interruption or deterioration in the quality of these services, our users may not continue using our services.</w:t>
      </w:r>
    </w:p>
    <w:p>
      <w:pPr>
        <w:spacing w:after="0" w:line="5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partially rely on third-party computer systems to host our websites, as well as third-party licenses for some of the software underlying our technology platform. In addition, we rely on third-party transportation ticketing agencies to issue transportation tickets and travel insurance products, confirmations and deliveries in various cities around the world. We also rely on third-party local operators to deliver on-site services to our packaged-tour and in-destination activity users and other services, such as car services.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interruption in our ability to obtain the products or services of these or other third parties or deterioration in their performance, such as server errors or interruptions, or dishonest business conduct, could impair the timing and quality of our own service. If our service providers fail to provide high-quality services in a timely manner to us or our users, or provide services that are substantially different from their description or without licenses or permits as required by the laws and regulations despite that we have so requested, our services will not meet the expectations of our users, our users may claim against us for damages and stop using our online platforms, and our reputation and brand will be damaged. Furthermore, if our arrangement with any of these third parties is terminated, we may not find an alternative source of support on a timely basis or on favorable terms to us.</w:t>
      </w:r>
    </w:p>
    <w:p>
      <w:pPr>
        <w:spacing w:after="0" w:line="291" w:lineRule="exact"/>
        <w:rPr>
          <w:sz w:val="20"/>
          <w:szCs w:val="20"/>
          <w:color w:val="auto"/>
        </w:rPr>
      </w:pPr>
    </w:p>
    <w:p>
      <w:pPr>
        <w:jc w:val="both"/>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the subject of detrimental conduct by third parties, including complaints to regulatory agencies, negative blog postings, and the public dissemination of malicious assessments of our business, which could have a negative impact on our reputation and cause us to lose market share, ecosystem partners, users and revenues, and adversely affect the price of our ADSs or ordinary shares.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be the target of anti-competitive, harassing, or other detrimental conduct by third parties. Such conduct may include complaints, anonymous or otherwise, to regulatory agencies regarding our operations, accounting, revenues, business relationships, business prospects, and business ethics. Additionally, allegations, directly or indirectly against us, may be posted on the internet by anyone, whether or not related to us, on an anonymous basis. We may be subject to government or regulatory investigation as a result of such third-party conduct and may be required to spend significant time and incur substantial costs to address such third-party conduct, and we cannot assure you that we will be able to conclusively refute each of the allegations within a reasonable period of time, or at all. Our reputation may also be negatively affected as a result of the public dissemination of anonymous allegations or malicious statements about our business, which in turn may cause us to lose market share, ecosystem partners, users, and revenues and adversely affect the price of our ADSs or ordinary shares.</w:t>
      </w:r>
    </w:p>
    <w:p>
      <w:pPr>
        <w:sectPr>
          <w:pgSz w:w="11900" w:h="16838" w:orient="portrait"/>
          <w:cols w:equalWidth="0" w:num="1">
            <w:col w:w="11120"/>
          </w:cols>
          <w:pgMar w:left="320" w:top="482" w:right="459" w:bottom="1440" w:gutter="0" w:footer="0" w:header="0"/>
        </w:sectPr>
      </w:pP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 processing risk.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accept a variety of different online payment methods and rely on third parties to process such payments. Acceptance and processing of these payment methods are subject to certain rules and regulations and require payment of interchange and other fees. To the extent there are increases in payment processing fees, material changes in the payment ecosystem, such as delays in receiving payments from payment processors or changes to rules or regulations concerning payment processing, our revenues, operating expenses, and results of operations could be adversely impacted.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also do not have control over the security measures of our third-party payment service providers, and security breaches of the online payment systems that we use could expose us to litigation and possible liability for failing to secure confidential user information and could, among other things, damage our reputation and the perceived security of all of the online payment systems that we use. If a well-publicized internet security breach were to occur, users concerned about the security of their online payments may become reluctant to purchase our products and services through payment service providers even if the publicized breach did not involve payment systems or methods used by us. We may also be subject to fraud and other illegal activities in connection with the various payment methods that we offer, including online payment options. We may also be subject to various rules, regulations, and requirements, regulatory or otherwise, governing electronic fund transfers and online payment, which could change or be reinterpreted to make it difficult or impossible for us to comply with. If we fail to comply with these rules or requirements, we may be subject to fines and higher transaction fees, and lose our ability to accept credit and debit card payments from our users, process electronic fund transfers, or facilitate other types of online payments. If any of the above were to occur and damage our reputation or the perceived security of the payment systems that we use, we may lose users as they may be discouraged from purchasing products or services on our platform, which may adversely affect our business and results of operations.</w:t>
      </w:r>
    </w:p>
    <w:p>
      <w:pPr>
        <w:spacing w:after="0" w:line="29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ecosystem partners or users provide us with untrue information or misrepresentations regarding the users’ consumption of our ecosystem partners’ products and services, we may not be able to recognize and collect revenues to which we are entitled.</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recognize revenues primarily based on commissions earned from our ecosystem partners. Accordingly, we rely on our ecosystem partners and users to provide us with truthful information regarding the users’ consumption of our ecosystem partners’ products and services through our platform, which forms the basis for calculating the commissions that we are entitled to receive from our ecosystem partners. For example, we generate substantially all of our accommodation reservation revenue through commissions from hotel reservation partners through our platform. To confirm whether an order has been completed, we routinely make inquiries with the hotel and, occasionally, with the user. If our hotel partners and users bypass our platform and transact directly, we may be provided with untrue information or misrepresentations with respect to our users’ length of stay at the hotels. As a result, we would not be able to collect revenues to which we are entitled. In addition, using such untrue information may lead to inaccurate business projections and plans, which may adversely affect our business planning and strategy.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suffer losses if we are unable to predict the amount of inventory we will need to purchase during the peak holiday seasons.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During the peak holiday seasons, we establish limited merchant business relationships with selected ecosystem partners, in order to secure adequate supplies for our users. In merchant business relationships, we buy hotel rooms and transportation tickets before selling them to our users and thereby incur inventory risk. If we are unable to correctly predict demand for hotel rooms and transportation tickets that we are committed to purchase, we may be responsible for covering the cost of the hotel rooms and transportation tickets we are unable to sell, and our financial condition and results of operations would be adversely affected.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tax benefits available to our subsidiaries are reduced or repealed, our results of operations could suffer.</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enjoy various tax benefits in the jurisdictions where we operate. In particular, under the PRC Enterprise Income Tax Law, certain enterprises may benefit from a preferential tax rate if they qualify as “high and new technology enterprises” or if they are located in certain regions of China where favorable policies encouraging economic development are in place, subject to certain restrictions. Nine of our PRC subsidiaries and three of the VIEs have been recognized by the local authorities as high and new technology enterprises under the PRC Enterprise Income Tax Law. Therefore, these entities are entitled to enjoy a preferential tax rate as long as they maintain their qualifications. This qualification must be renewed every three years. The preferential tax treatment is subject to periodic review and may be adjusted or revoked at any time. We cannot assure you that these entities will continue to qualify as high and new technology enterprises when they are subject to reevaluation in the future. In addition, pursuant to a preferential tax policy to encourage economic development in China’s western regions, nine of our PRC subsidiaries are entitled to enjoy a preferential tax rate until 2030, as long as their revenue composition meets certain requirements. In the event that the preferential tax treatment for these entities is discontinued, these entities will become subject to the standard tax rate, which would materially increase our tax obligations.</w:t>
      </w:r>
    </w:p>
    <w:p>
      <w:pPr>
        <w:spacing w:after="0" w:line="298"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or administrative proceedings regarding information provided on our online portals or other aspects of our business operations, which may be time-consuming to defend.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online portals contain information about hotels, transportation, popular vacation destinations, and other travel-related topics posted by us as well as third parties. It is possible that if any information accessible on our online portals contains errors or false or misleading information, third parties could take action against us for losses incurred in connection with the use of such information. From time to time, we have become and may in the future become a party to various legal or administrative proceedings arising in the ordinary course of our business, including actions with respect to breach of contract claims, intellectual property infringement, unfair competition claims, claims relating to our online ride-hailing services, advertising services and pricing information we provide, and other matters. Although such proceedings are inherently uncertain and their results cannot be predicted with certainty, we believe that the resolution of our current pending matters will not have a material adverse effect on our business, consolidated financial position, results of operations, or cash flow. Regardless of the outcome and merit of such proceedings, any legal action can have an adverse impact on us because of defense costs, negative publicity, diversion of management’s attention, and other factors. In addition, it is possible that an unfavorable resolution of one or more legal or administrative proceedings could materially and adversely affect our financial position, results of operations, or cash flows in a particular period or damage our reputation.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could be liable for breaches of internet security or fraudulent transactions by users of our online platforms and our websites.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internet industry is facing significant challenges regarding information security and privacy, including the storage, transmission, and sharing of confidential information. In recent years, PRC government authorities have enacted legislation, such as the Cyber Security Law, on internet use to protect personal information from any unauthorized disclosure. The Cyber Security Law requires a network operator, which includes among others, internet information services providers, to take technical measures and other necessary measures to safeguard the safe and stable operation of its networks, imposing a relatively vague but broad obligation to provide technical support and assistance to the public security and state security authorities in connection with criminal investigations or for reasons of national security. The law further requires internet information service providers to formulate contingency plans for network security incidents, report to the competent departments immediately upon the occurrence of any incident endangering cyber security, and take corresponding remedial measures. Any violation of the PRC Cyber Security Law may subject us to warnings, fines, confiscation of illegal gains, revocation of licenses, cancelation of filings, shutdown of websites, or criminal liabilities. See “Item 4. Information on the Company—B. Business Overview—Government Regulations—PRC Regulations—Regulations Relating to Internet Information Security and Privacy Protection.”</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conduct a significant portion of our transactions through the internet, including our online platforms and websites. In such transactions, secured transmission of confidential information (such as users’ itineraries, hotel and other reservation information, credit card information, and personal information) over public networks and ensuring the confidentiality, integrity, availability, and authenticity of the information of our users, hotel partners, and airline partners are essential to maintaining their confidence in our online products and services. Our security measures may not be adequate temporarily and may contain deficiencies that we fail to identify, and advances in technology, increased levels of expertise of hackers, new discoveries in the field of cryptography or others could increase our vulnerability. Our business, results of operations, user experience, and reputation may be materially and adversely affected if our platforms or websites experience any breach of internet security.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strive to comply with applicable data protection laws and regulations, as well as our privacy policies pursuant to our terms of use and other obligations that we may have with respect to privacy and data protection. Significant capital, managerial, and human resources are required to enhance information security and to address any issues caused by security failures. If we are unable to protect our systems and the information stored in our systems from unauthorized access, use, disclosure, disruption, modification, or destruction, such problems or security breaches may cause loss, expose us to litigation and possible liability to the owners of confidential information, disrupt our operations, and may harm our reputation and ability to attract users.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approvals, licenses, or permits applicable to our business or any failure to comply with applicable laws or regulations may materially and adversely affect our business, financial condition, and results of operations.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required to obtain applicable permits or approvals from different regulatory authorities to conduct our business, including separate licenses for value-added telecommunications, travel agency, and internet-related activities. If we fail to obtain or maintain any of the required permits or approvals in the future, we may be subject to various penalties, such as fines or suspension of operations in these regulated businesses, which could severely disrupt our business operations. As a result, our financial condition and results of operations may be adversely affected.</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particular, the laws and regulations related to the internet and related industries are complex, evolving, subject to change and vary across jurisdictions globally. Any failure or claim of our failure to comply could cost us substantial resources, result in liabilities and harm our reputation. Any changes in these rules could require a change in our business operations. Some jurisdictions regulate the internet and related industries extensively and the internet-related laws and regulations may be relatively new and evolving. New laws and regulations applicable to internet business and activities may be promulgated, and their interpretation and enforcement involve uncertainties. If these new laws and regulations are promulgated, additional licenses may be required for our online operations. As a result, under certain circumstances it may be difficult to determine what actions or omissions constitute violations of applicable laws and regulations. Due to the uncertainties of interpretation and implementation of existing and future laws and regulations, the regulatory licenses we hold may not be sufficient to meet regulatory requirements, which may restrain our ability to expand our business scope and may subject us to fines or other regulatory actions by relevant regulators if our practice is deemed to be violating relevant laws and regulations. As we further develop and expand our business scope, we may need to obtain additional qualifications, permits, filings, approvals or licenses. Moreover, we may be required to obtain additional licenses or approvals if the regulatory authorities adopt more stringent policies or regulations for our industry.</w:t>
      </w:r>
    </w:p>
    <w:p>
      <w:pPr>
        <w:spacing w:after="0" w:line="190"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example, AI-related services may subject us to new or enhanced regulatory requirements, including additional governmental or regulatory scrutiny. For details, see “Item 3. Key Information—D. Risk Factors—Risks Relating to Our Business and Industry—Potential issues in the adoption and use of artificial intelligence in our product offerings may result in reputational harm or liability.”</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PRC government and regulatory authorities have adopted regulations governing content contained within videos, live streaming, and other information over the internet. For details, see “Item 4. Information on the Company—B. Business Overview—Government Regulations— PRC Regulations—Regulations Relating to Value-Added Telecommunications Services.” Any failure to comply with these regulations may subject us to liability. We conduct content reviews regularly to ensure that the live streaming and other content on our platform complies with the laws and regulations, but we cannot assure you that our review process will always guarantee zero violation of the content related laws and regulations. Reports or publicity of content on our platform that is fraudulent, obscene, superstitious, or otherwise inappropriate may result in negative publicity, harm to our brand, or a regulatory response that might have a material and adverse impact on our business.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we provide online consumer finance services incidental to our core businesses. Due to the relatively short history of China’s online consumer finance industry, the PRC regulatory framework governing this industry may further evolve. We cannot assure you that we will be able to obtain all permissions and approvals necessary for providing our online consumer finance services. In addition, we may have to make significant changes to our operations from time to time in order to comply with changing laws, regulations, and policies governing the online and travel industries in general and many aspects of our business in particular, which may increase our cost of operation or limit our options of service offering, which in turn may adversely affect our results of operations.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air and railway ticketing businesses are subject to uncertainties in regulatory and business policies.</w:t>
      </w:r>
    </w:p>
    <w:p>
      <w:pPr>
        <w:spacing w:after="0" w:line="121"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Civil Aviation Administration of China and the NDRC regulate pricing of air tickets. The Civil Aviation Administration also supervises commissions payable to air-ticketing agencies together with the China Air Transport Association. Railway tickets are sold by the railway transport enterprises. The fare rates of railway tickets are subject to government-guided or government-set prices, while market-adjusted prices apply in competitive areas. Fares for high-speed rail trains may partly be determined by the railway transport enterprises.</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Recently, both the aviation and railway sectors in China have introduced measures to further standardize the operations of online travel agencies, or OTAs, and other third-party platforms. For example, it has been publicly reported that in April 2026, certain airlines in China issued notices to ticket agencies, requiring them not to distribute their inventory on OTAs and other third-party platforms. Meanwhile, railway transport enterprises also enhanced the management of third-party platforms. If new regulatory policies are adopted by the Civil Aviation Administration, the NDRC, the China Air Transport Association, the National Railway Administration of the PRC, or any of their regional branches, or if business policies are adjusted by airlines and railway transport enterprises, we may have to adapt our current business practices, and our air and railway ticketing revenue may be adversely affected.</w:t>
      </w:r>
    </w:p>
    <w:p>
      <w:pPr>
        <w:spacing w:after="0" w:line="29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privacy and data protection laws and regulations in various jurisdictions could subject us to sanctions, damages, and litigation, and could harm our reputation and business.</w:t>
      </w:r>
    </w:p>
    <w:p>
      <w:pPr>
        <w:spacing w:after="0" w:line="5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We collect and process certain personal data of our users, including email addresses, usage data, identification information, and additional information. We also collect and process billing information and phone numbers of our users. As such, we are subject to the privacy and data protection laws and regulations in various jurisdictions. Privacy laws provide restrictions and guidance in connection with our storage, use, processing, disclosure, transfer, and protection of personal information. We strive to comply with all applicable laws, regulations, and policies relating to privacy and data protection. We are also subject to privacy and data security-related obligations deriving from our privacy policy and terms of use with our users, and we may be liable to third parties in the event we are deemed to have wrongfully processed, used, stored, disclosed, or otherwise disposed of personal data.</w:t>
      </w:r>
    </w:p>
    <w:p>
      <w:pPr>
        <w:spacing w:after="0" w:line="17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Data security and protection has become one of the policy focuses of many jurisdictions in which we operate. Substantial uncertainties remain with respect to the interpretation and enforcement of the data security and privacy protection regulations of some jurisdictions and their impact on us, which makes it difficult to determine what actions or inactions may be deemed to be in violation of the applicable laws and regulations in certain circumstances. The relevant government authorities may have wide discretion in the interpretation and enforcement of these laws. For example, major internet platforms like us are exposed to possibilities of being identified by the regulatory authority to be a critical information infrastructure operator or a network platform operator in China. If we are identified as a critical information infrastructure operator, we would be required to fulfill various obligations that are currently not applicable to us. Moreover, we may need to follow the cybersecurity review procedure and apply to the Cybersecurity Review Office before making certain purchases of network products and services. During the cybersecurity review, we may be required to undertake certain business adjustments, which may cause disruptions to our business and operations. The cybersecurity review could lead to a diversion of time and attention of our management and our other resources. Furthermore, we cannot assure you that we will obtain the clearance or approval for these applications from the Cybersecurity Review Office and the government authorities in a timely manner, or at all. If we are found to be in violation of cybersecurity requirements in China, the government authorities may conduct investigations, levy fines, request app stores to take down our apps, cease to provide viewing and downloading services related to our apps, prohibit the registration of new users on our platform, or require us to change our business practices in a manner materially adverse to our business. Any of these actions may disrupt our operations and materially and adversely affect our business, financial condition, and results of operations.</w:t>
      </w:r>
    </w:p>
    <w:p>
      <w:pPr>
        <w:spacing w:after="0" w:line="19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PRC regulatory and enforcement regime with regard to data security and personal information protection is evolving and may be subject to different interpretations or significant changes. See “Item 4. Information on the Company—B. Business Overview—Government Regulations—PRC Regulations—Regulations Relating to Internet Information Security and Privacy Protection.” For example, the PRC Data Security Law established a tiered system for data protection in terms of its importance. Data categorized as “important data”, which will be determined by governmental authorities in the form of catalogs, are required to be treated with higher level of protection. The processor of such data is required to evaluate the risks of its data activities periodically and file assessment reports with the regulatory authorities. In addition, the Security Assessment Measures for Data Outbound Transfer outline the requirements and procedures for security assessments on export of important data or personal information collected or generated within the territory of China. There are uncertainties with respect to how such laws and regulations will be implemented and interpreted in practice. We cannot assure you that our practices will be deemed to be fully compliant with all regulatory requirements. Recently, we have received a written notice of a proposed fine as our processing of certain personal information was deemed not fully compliant with applicable regulatory requirements. Any failure, or perceived failure, to maintain the security of data in our possession or to comply with applicable laws and obligations may result in regulatory actions and liability, including rectification order, warning, fines, suspension of relevant business, revocation of business permits or licenses and negative publicity, and may require us to expend significant resources in responding to and defending allegations and claims, as well as rectifying our practices.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European Union traditionally takes a broader view as to what is considered personal information and has imposed greater obligations under its privacy and data protection laws. In particular, the European Union adopted the General Data Protection Regulation in April 2016, which came into effect in May 2018. The General Data Protection Regulation results in more stringent requirements for data processors and controllers, including more fulsome disclosures about the processing of personal information, data retention limits, and deletion requirements, mandatory notification in the case of a data breach, and elevated standards regarding valid consent in some specific cases of data processing. The General Data Protection Regulation also includes substantially higher penalties for failure to comply with the requirements. For example, in the event of violations, a fine of up to 20 million Euros or up to 4% of the annual worldwide turnover, whichever is greater, may be imposed. In addition to the General Data Protection Regulation, when other future laws and regulations relating to data privacy come into effect, the more stringent requirements on privacy user notifications and data handling will require us to adapt our business and incur additional costs.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extent we have accessed data in Hong Kong and Macao, we have been in compliance with the laws and regulations in both jurisdictions regarding data security, such as the Personal Data (Privacy) Ordinance and the Unsolicited Electronic Messages Ordinance, which impose protocols and obligations regarding the handling of personal data in Hong Kong including, among other things, that (i) personal data must be collected for a lawful purpose, necessary, and not excessive, (ii) personal data must be collected by means that are lawful and fair in the circumstances of the case, and (iii) the person from whom personal data is collected is informed of the purpose of collecting the data. As of the date of this annual report, we believe that these laws and regulations in Hong Kong and Macao regarding data security do not, nor would any non-compliance therewith, if any, have any material adverse impact on our business. However, if certain laws and regulations in Hong Kong or Macao were to result in oversight over data security that materially impacts our business in the applicable jurisdiction, we may be required to incur additional cost to ensure our compliance with such laws and regulations, and any violation could result in a material adverse impact on our business, financial condition, and results of operations.</w:t>
      </w:r>
    </w:p>
    <w:p>
      <w:pPr>
        <w:spacing w:after="0" w:line="188"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Privacy and data protection concerns are becoming more widely acknowledged and may cause our users to resist providing the personal data necessary to allow them to use our platform effectively. We have implemented multiple measures and security protocols to maintain and improve our privacy protection capability. However, since the privacy and data protection laws and regulations are relatively new, there are uncertainties as to the interpretation and application of these laws and regulations, and it is possible that our privacy and data protection practices are or will be incompliant with the applicable regulatory requirements and/or our terms of use with our users. Any violation of the provisions and requirements under these laws, regulations, obligations or our terms of use with our users may subject us to warnings, fines, confiscation of illegal gains, revocation of licenses, suspension of business, shutting down of websites or even criminal liabilities. Complying with such requirements could cause us to incur substantial expenses or to alter or change our practice in a manner that could harm our business. Any systems failure or security breach or lapse that results in the unauthorized release of our user data could harm our reputation and brand and, consequently, our business, in addition to exposing us to potential legal liability.</w:t>
      </w:r>
    </w:p>
    <w:p>
      <w:pPr>
        <w:spacing w:after="0" w:line="298"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Strategic acquisition of complementary businesses and assets creates significant challenges, such as a dilutive effect on our equity securities and an impact on our financial performance, that may materially and adversely affect our business, reputation, results of operations, and financial condition.</w:t>
      </w:r>
    </w:p>
    <w:p>
      <w:pPr>
        <w:spacing w:after="0" w:line="67"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We have made and intend to continue to make strategic acquisitions in the travel industry globally. If we are presented with appropriate opportunities, we may continue to acquire complementary businesses and assets in the future. However, strategic acquisitions and the subsequent integration of new businesses and assets into our own would require significant attention from our management and could result in a diversion of resources from our existing business, which in turn could adversely affect our business operations. In addition, acquisitions could result in potential dilutive issuances of equity securities, use of substantial amounts of cash, and exposure to potential ongoing financial obligations and unforeseen or hidden liabilities of the acquired business. The cost and duration of, and difficulties in, integrating newly acquired businesses and managing a larger overall business could also materially exceed our expectations. Moreover, we may not be able to achieve our intended strategies and this may result in substantial impairment charges to goodwill, if we fail to successfully integrate the newly acquired business or manage a larger business. Any such negative developments could materially and adversely affect our business, reputation, results of operations, and financial condition.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82"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to invest in complementary businesses and assets and establish strategic alliances involves significant risks and uncertainties that may have a material adverse effect on our business, reputation, financial condition, and results of operations.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part of our plan to expand our product and service offerings, we have made and intend to make strategic investments in the travel service industries globally. If the ADS or share prices of the public companies that we invest in decline, as we experienced historically, we would record changes in fair value in our consolidated statements of income under U.S. GAAP, which in turn would adversely affect our results of operations for the relevant periods. In addition, if any of our investees in which our investments are classified as equity method investments incur net losses in the future, we will share their net losses proportionate to our equity interest in them.</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strategic investments could also subject us to other uncertainties and risks, and our failure to address any of these uncertainties and risks, among others, may have a material adverse effect on our financial condition and results of operations:</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resources and management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acquisition and financing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our intended objectives or benefits in making these investments or revenue-enhancing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third-party claims, or legal proceedings involving our invested or acquired business;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or litigation regarding our board’s exercise of its duty of care and other duties required under the applicable law in connection with any of our significant investments approved by the board;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be in full compliance with applicable laws, rules, and regulations.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particular, our strategy of investing in a complementary business could be adversely affected by anti-monopoly laws in the relevant jurisdictions. We may incur significant cost in an effort to comply with applicable anti-monopoly laws. The interpretation, implementation and enforcement of anti-monopoly laws in some of the jurisdictions where we operate are subject to uncertainties. As such, although we intend to comply with applicable anti-monopoly laws, we cannot assure you that relevant authorities will agree with our interpretation of the applicable laws. Our proposed investment or acquisitions may not pass anti-monopoly review by regulatory authorities, and could be subject to penalties or other restrictive measures that may have a negative effect on our business and financial results. For example, we are subject to the PRC Anti-Monopoly Law, under which companies must notify the State Administration for Market Regulation, or the SAMR, in advance of any concentration of undertakings where the parties’ revenues in the relevant markets exceed certain thresholds for review. In light of the uncertainties relating to the PRC Anti-Monopoly Law, the SAMR may disagree with our assessment as to whether our past and future acquisitions or investments meet the filing requirement. There can be no assurance as to whether it will thus impose any penalties or other restrictive measures on us.</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we establish strategic alliances with various third parties to further our business purpose from time to time. Strategic alliances with third parties could subject us to a number of risks, including risks associated with sharing proprietary information, non-performance by the counter-party, an increase in expenses incurred in establishing new strategic alliances, inefficiencies caused by failure to integrate strategic partners’ businesses with our own, and unforeseen levels of diversion of our resources and management attention, any of which may materially and adversely affect our business.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any of the above factors, any actual or perceived failure to realize the benefits we expect from these investments may materially and adversely affect our business and financial results and cause the trading price of our ADSs and ordinary shares to decline.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82"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substantial indebtedness and may incur additional indebtedness in the future. We may not be able to generate sufficient cash to satisfy our outstanding and future debt obligations.</w:t>
      </w:r>
    </w:p>
    <w:p>
      <w:pPr>
        <w:spacing w:after="0" w:line="5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have incurred substantial indebtedness to execute our business operations and strategies. Payment due within one year from December 31, 2025 for our debt obligations amounted to RMB18.5 billion (US$2.6 billion). Payment due after one year from December 31, 2025 for our debt obligations amounted to RMB11.6 billion (US$1.7 billion). To the extent that we were to settle or redeem our convertible notes or exchangeable senior notes in cash, our debt obligations would become more substantial.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to you. For example, it could:</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general economic and industry conditions;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servicing and repaying our indebtedness, thereby reducing the availability of our cash flow to fund working capital, capital expenditures and other general corporate purposes;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restrictive covenants of our indebtedness, among other things, our ability to conduct additional financing activities, or increase the cost of additional financing.</w:t>
      </w:r>
    </w:p>
    <w:p>
      <w:pPr>
        <w:spacing w:after="0" w:line="16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may from time to time incur additional indebtedness and contingent liabilities. If we incur additional debt, the risks that we face as a result of our substantial indebtedness and leverage could intensify. For example, in June 2024, we issued US$1.5 billion in aggregate principal amount of 0.75% convertible senior notes due 2029, or the 2029 Notes.</w:t>
      </w:r>
    </w:p>
    <w:p>
      <w:pPr>
        <w:spacing w:after="0" w:line="176"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Our ability to generate sufficient cash to satisfy our outstanding and future debt obligations will depend upon our future operating performance, which will be affected by prevailing economic conditions and financial, business, and other factors, many of which are beyond our control. As a result, we may not generate or obtain sufficient cash flow to meet our anticipated operating expenses and to service our debt obligations as they become due.</w:t>
      </w:r>
    </w:p>
    <w:p>
      <w:pPr>
        <w:spacing w:after="0" w:line="262"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recorded a significant amount of goodwill and indefinite-lived intangible assets in connection with our strategic acquisitions and investments, and we may incur material impairment charges to our goodwill and indefinite-lived intangible assets if the recoverability of these assets becomes substantially reduced.</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our strategic acquisitions in recent years, we recorded a significant amount of goodwill and indefinite lived intangible assets in our financial statements. As of December 31, 2025, our goodwill was RMB62.3 billion (US$8.9 billion). ASC 350 “Intangibles-Goodwill and Other” provides that intangible assets that have indefinite useful lives and goodwill will not be amortized but rather will be tested at least annually for impairment. ASC 350 also requires that long-lived assets be reviewed for impairment whenever events or changes in circumstances indicate that the carrying amount of an asset may not be recoverable. We may first assess qualitative factors to determine whether it is necessary to perform the quantitative impairment test, by taking into consideration macroeconomics, overall financial performance, industry and market conditions and the share price. If determined to be necessary, the quantitative impairment test will be used to identify impairment. For 2023, 2024, and 2025, we did not recognize any impairment charges for goodwill or indefinite-lived intangible assets, because there was no indicator of impairment identified in our qualitative assessment. If different judgments or estimates had been utilized, however, material differences could have resulted in the amount and timing of the impairment charge. We may potentially incur significant impairment charges if the recoverability of these assets becomes substantially reduced in the future. Any such impairment charges would adversely affect our financial condition and results of operations. In addition, in the case that the trading price of our ADSs or ordinary shares declines, and the amount by which the share price exceeds the carrying value of the reporting unit becomes minimal, it may be considered an indicator for us to perform an interim goodwill impairment test and we may need to recognize impairment on goodwill or other long-lived assets. See “Item 5. Operating and Financial Review and Prospects—A. Operating Results—Critical Accounting Policies and Estimates—Goodwill, Intangible Assets and Long-Lived Assets.”</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face greater risk of doubtful accounts as our business increases in scale.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provide credit terms to certain ecosystem partners, and also extend credit to our users by making payments on behalf of them when they book travel products on our platform. Our accounts receivable and other receivables have increased as our business grows. We cannot assure you that we will be able to collect payment fully and in a timely manner on our outstanding receivables from our ecosystem partners and users. As a result, we may face a greater risk of non-payment of our receivables and, as our business grows in scale, we may need to make higher allowance for credit losses. For the years ended December 31, 2023, 2024, and 2025, we provided provisions for credit losses of RMB79 million, RMB330 million, and RMB477 million (US$68 million), respectively. Our operating results and financial condition may be materially and adversely affected if we are unable to successfully manage our receivables.</w:t>
      </w:r>
    </w:p>
    <w:p>
      <w:pPr>
        <w:spacing w:after="0" w:line="293"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determination of the fair value changes of certain financial assets requires significant management judgment and estimation based on unobservable inputs, which may lead to valuation uncertainty and a change in the fair value of our long-term investments.</w:t>
      </w:r>
    </w:p>
    <w:p>
      <w:pPr>
        <w:spacing w:after="0" w:line="5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As of December 31, 2025, we had investments of RMB1.0 billion (US$139 million) classified under Level 3 in the fair value hierarchy. The fair values of these investments were determined by us based on an income approach utilizing various unobservable inputs which required significant judgment, determined by us, with respect to the assumptions and estimates for the revenue growth rate, weighted average cost of capital, lack of marketability discounts, expected volatility, and probability in equity allocation. Accordingly, such determination requires us to make estimates and assumptions, which may be subject to material changes, and therefore inherently involves a certain degree of uncertainty. Factors beyond our control, such as general economic condition, changes in market interest rates, and stability of the capital markets, can significantly influence and cause adverse changes to the estimates we used and thereby affect the fair value of these investments. Should any of the estimates and assumptions change, there may be a change in the fair value of our financial assets, which would materially and adversely affect our results of operations and financial conditions.</w:t>
      </w:r>
    </w:p>
    <w:p>
      <w:pPr>
        <w:spacing w:after="0" w:line="17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For further details, see “Item 5. Operating and Financial Review and Prospects—A. Operating Results—Critical Accounting Policies and Estimates—Fair value of Available-for-sale Debt Investments.”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sustained losses in the past and may experience earnings declines or net losses in the future.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Despite that we recorded net income of RMB10.0 billion, RMB17.2 billion, and RMB33.4 billion (US$4.8 billion) in 2023, 2024, and 2025, respectively, we recorded net losses in the past. Substantial uncertainties remain with respect to our business outlook, results of operations, and financial condition in the future. We cannot assure you that we can sustain profitability or avoid net losses in the future. Our operating expenses may still increase in the future and the degree of increase in these expenses is largely based on anticipated growth, revenue trends, and competitive pressure. As a result, any decrease or delay in generating additional sales volume and revenues and increase in our operating expenses may result in substantial operating losses.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incurred net current liabilities and net operating cash outflows in the past, and may not assure you that we will continue to achieve or maintain net current assets or net operating cash inflow in the future.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Despite that we had net current assets of RMB38.1 billion and RMB42.9 billion (US$6.1 billion) as of December 31, 2024 and 2025, respectively, we had net current liabilities in the past. There can be no assurance that we will not experience liquidity problems in the future. We may not be able to fulfill our obligation to provide travel products or services to our users, the failure of which may negatively affect our cash flow position. If we fail to generate sufficient revenue from our operations, or if we fail to maintain sufficient cash and financing, we may not have sufficient cash flows to fund our business, operations, and capital expenditure, and our business and financial position will be adversely affected.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had net cash provided by operating activities of RMB22.0 billion, RMB19.6 billion, and RMB14.4 billion (US$2.1 billion) in 2023, 2024, and 2025, respectively. However, we have had net operating cash outflows in the past. While we believe that we have sufficient working capital to fund our current operations, we cannot guarantee that we will not experience cash outflow from our operating activities in the future. If we are unable to maintain adequate working capital, we may default on our payment obligations and may not be able to meet our capital expenditure requirements, which may have a material adverse effect on our business, financial condition, and results of operations.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82"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could result in errors in our published financial statements, which in turn could have a material adverse effect on the trading price of our ADSs or ordinary shares.</w:t>
      </w:r>
    </w:p>
    <w:p>
      <w:pPr>
        <w:spacing w:after="0" w:line="51" w:lineRule="exact"/>
        <w:rPr>
          <w:sz w:val="20"/>
          <w:szCs w:val="20"/>
          <w:color w:val="auto"/>
        </w:rPr>
      </w:pPr>
    </w:p>
    <w:p>
      <w:pPr>
        <w:ind w:left="120" w:right="120" w:firstLine="440"/>
        <w:spacing w:after="0" w:line="269" w:lineRule="auto"/>
        <w:rPr>
          <w:sz w:val="20"/>
          <w:szCs w:val="20"/>
          <w:color w:val="auto"/>
        </w:rPr>
      </w:pPr>
      <w:r>
        <w:rPr>
          <w:rFonts w:ascii="Times New Roman" w:cs="Times New Roman" w:eastAsia="Times New Roman" w:hAnsi="Times New Roman"/>
          <w:sz w:val="17"/>
          <w:szCs w:val="17"/>
          <w:color w:val="auto"/>
        </w:rPr>
        <w:t>We are subject to the reporting obligations under the U.S. securities laws. As required under Section 404 of the Sarbanes-Oxley Act of 2002, the SEC has adopted rules requiring public companies to include a report of management on the effectiveness of such companies’ internal control over financial reporting in their annual reports. In addition, an independent registered public accounting firm for a public company must issue an attestation report on the effectiveness of the company’s internal control over financial reporting. Our management conducted an evaluation of the effectiveness of our internal control over financial reporting and concluded that our internal control over financial reporting was effective as of December 31, 2025. In addition, our independent registered public accounting firm attested the effectiveness of our internal control and reported that our internal control over financial reporting was effective as of December 31, 2025. If we fail to maintain the effectiveness of our internal control over financial reporting, we may not be able to conclude on an ongoing basis that we have effective internal control over financial reporting in accordance with the Sarbanes-Oxley Act.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ADSs or ordinary shares. Furthermore, we may need to incur additional costs and use additional management and other resources in an effort to comply with Section 404 of the Sarbanes-Oxley Act and other requirements going forward.</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may not be able to obtain it.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and cash equivalents, short-term investments, cash flow from operations and proceeds from our financing activities will be sufficient to meet our anticipated cash needs for the foreseeable future.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additional dilution to our shareholders. The incurrence of indebtedness would result in increased debt service obligations and could result in operating and financing covenants that would restrict our operations. We cannot assure you that financing will be available in amounts or on terms acceptable to us, if at all.</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terms of future debt financing could result in more restrictive covenants, which could further restrict our business operations. If we cannot raise additional funds when we need them, our ability to continue to support our business and to respond to business challenges would be significantly limited, and our business, results of operations, and financial condition would be materially and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Fluctuation of fair value change of short-term investments we made may affect our results of operations.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Historically, we made short-term investments, representing (i) held-to-maturity investments which are due in one year and stated at amortized cost; (ii) the investments issued by commercial banks or other financial institutions with a variable interest rate indexed to the performance of underlying assets within one year measured at fair value; and (iii) foreign currency forward contracts measured at fair value which are short-term. Changes in the fair value are reflected in our consolidated statements of income and comprehensive income. The methodologies that we use to assess the fair value of the short-term investments involve a significant degree of management judgment and are inherently uncertain. In addition, we are exposed to credit risks in relation to our short-term investments, which may adversely affect the net changes in their fair value. We cannot assure you that market conditions will create fair value gains on our short-term investments or that we will not incur any fair value losses on our short-term investments in the future. If we incur such fair value losses, our results of operations, financial condition and prospects may be adversely affected.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business insurance coverage.</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maintain insurance coverage that we consider necessary and sufficient for our business, and customary for the industry in which we operate. However, in the markets where we operate, service providers typically offer limited business insurance products and do not, to our knowledge, offer business liability insurance. We cannot assure you that our insurance coverage is sufficient to prevent us from any loss to be sustained or that we will be able to successfully claim our losses under our current insurance policies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Multi-jurisdictional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of doing business globally.</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operate in many jurisdictions across the globe, and may in the future continue expanding, or seek to expand, our operations to additional jurisdictions. The global operation and expansion plan exposes us to international political, legal and economic risks, which are complex, fluid and unpredictable. Our ability to operate in multiple countries and regions may be adversely affected by changes in international and local laws, regulations and government policies, such as those related to e-commerce, data privacy, cybersecurity, travel industry, sanctions, consumer protection, payment, intellectual property protection, investment, taxation and other matters, as well as changes in the enforcement of the above laws, regulations and policies. Many, if not all, of the above-mentioned risks apply to our operations in multiple jurisdictions across the globe. If any of these risks were to occur, our business, financial condition and results of operations could be materially and adversely affected by any of the risks above.</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cannot guarantee that we will be able to successfully carry out our global expansion strategy. We will face certain risks inherent in doing business globally, including, but not limited to, difficulties in developing, staffing and simultaneously managing global operations as a result of distance, language and cultural differences; challenges in formulating effective local sales and marketing strategies targeting users from various jurisdictions and cultures, who have a diverse range of preferences and demands; challenges in identifying appropriate local business partners and establishing and maintaining good working relationships with them; challenges in recruiting and retaining talented and capable management and employees in various markets; challenges in obtaining and maintaining sufficient intellectual property protection and rights in various jurisdictions; dependence on local marketing channels; challenges in selecting suitable geographical regions for international business; political or social unrest or economic instability; compliance with applicable laws and regulations in multiple regions across the globe and unexpected changes in laws or regulations, relating to investment restrictions and ownership requirements, among others; exposure to different tax jurisdictions that may subject us to greater fluctuations in our effective tax rate and potentially adverse tax consequences; and increased costs associated with doing business in multiple jurisdictions across the globe.</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New geographic markets may have competitive conditions, user preferences, and discretionary spending patterns that are more difficult to predict or satisfy than our existing markets. Local companies may have a substantial competitive advantage because of their greater understanding of, and focus on, the local users, as well as their more established local brand names, requiring us to build brand awareness in that market through greater investments in advertising and promotional activity. International expansion may also require significant capital investment, which could strain our resources and adversely impact current performance, while adding complexity to our current operations.</w:t>
      </w:r>
    </w:p>
    <w:p>
      <w:pPr>
        <w:spacing w:after="0" w:line="287"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international markets. If we fail to meet the challenges presented by our increasingly globalized operations, our business, financial condition and results of operations may be materially and adversely affected.</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limited experience in international markets. Our international operation exposes us to a number of risks relating to our ability to address challenges in local markets, including:</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our products and services, and challenges of localizing our offerings to appeal to local tastes;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our products and services to local regulatory requirements;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of maintaining efficient and consolidated internal systems, including technology infrastructure, and of achieving customization and integration of these systems with the other parts of our technology platform;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replicating or adapting our company policies and procedures to operating environments different from that of China;</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security policies that restrict our ability to utilize technologies that are deemed by local governmental regulators to pose a threat to their national security;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investment policies, barriers to trade or investment and geopolitical conflicts, as well as export control, economic or trade sanctions and the trend towards trade and technology “de-coupling”;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increased resources to manage regulatory compliance across our international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privacy laws and data security laws and compliance costs across different legal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restrictions and barriers on the transfer of data between different jurisdictions;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licensing or certification requirements of the local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general economic or political conditions in particular countries or regions, including territorial or trade disputes, war and terrorism;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capital required for entering into new geographical markets, including the cost of promoting our current and future brands in the new markets and building sales and services networks.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is no assurance we will be able to manage these risks and challenges as we continue to grow our international businesses. Failure to manage these risks and challenges could negatively affect our ability to expand our international businesses and operations as well as materially and adversely affect our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laws across many jurisdictions, many of which are complex and evolving.</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a variety of laws and regulations across the many jurisdictions where we operate, including without limitation those relating to e-commerce, data privacy, cybersecurity, travel industry, sanctions, consumer protection, payment, intellectual property protection, investment and taxation.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laws and regulations can be significantly different across different jurisdictions and are continually evolving. Regulatory regimes in connection with e-commerce, data privacy and cybersecurity, among others, of certain jurisdictions tend to have more stringent requirements than others, such as South Korea. Compliance with these laws and regulations is costly, requires significant management time and effort and may require changes to our business practices for local adaptation. We may also be subject to inconsistent compliance obligations across jurisdictions. In addition, if enhanced enforcement of laws and regulations requires us to expend significant resources in response or results in the imposition of new obligations, our business and results of operations could be adversely affected.</w:t>
      </w:r>
    </w:p>
    <w:p>
      <w:pPr>
        <w:spacing w:after="0" w:line="18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 variety of laws and regulations govern or apply to the collection, processing, sharing, disclosure, transfer and other use of data regarding consumers. We are subject to laws, regulations, contractual obligations and industry standards relating to privacy, data protection, information security and consumer protection, which are evolving and subject to potentially differing interpretations. The regulatory environment in these areas is becoming increasingly rigorous and is likely to remain uncertain for the foreseeable future. For the major data and privacy laws and regulations applicable to our business, including in the European Union, and their related risks, see “—Risks Relating to Our Business and Industry—Our failure to comply with privacy and data protection laws and regulations in various jurisdictions could subject us to sanctions, damages, and litigation, and could harm our reputation and business.”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Government regulation of the internet and e-commerce is also evolving around the world, and unfavorable changes or failure by us to comply with these regulations could harm our business and results of operations. For example, the EU Digital Services Act (DSA) mandates the disclosure of merchant information and the implementation of enhanced transparency measures related to recommendation systems used to present product options to users. If an online platform presents product information in a manner that leads an average consumer to believe the platform directly provides the product, it may be directly liable under consumer protection laws. Similar legislation is being considered and may be adopted in other jurisdictions in which we operate.</w:t>
      </w:r>
    </w:p>
    <w:p>
      <w:pPr>
        <w:spacing w:after="0" w:line="18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We strive to comply with all laws and regulations that are applicable to our operations around the world. Despite our efforts, we may not have fully complied in the past, and may not be able to fully or timely comply in the future, with all applicable laws and regulations. Relatedly, in the ordinary course of our business and in light of the scale of our global operations, we may be subject to formal and informal reviews, queries, investigations, proceedings or other types of administrative actions by governmental and regulatory authorities in the jurisdictions in which we operate under existing laws, regulations, or interpretations or pursuing new and novel approaches to regulate our operations. Unfavorable regulations, laws, decisions, or interpretations by government or regulatory authorities applying those laws and regulations, or inquiries, investigations, or enforcement actions threatened or initiated by them could expose us to unanticipated civil and criminal liability or penalties; subject us to sanctions; harm our brands and reputation; increase our cost of doing business; require us to change the way we operate in a way adverse to our business, including by discontinuing certain services or restricting our operations in one or more jurisdictions; impede our growth; or otherwise have a material effect on our business. All of these could materially and adversely affect our business, prospects, financial condition, reputation, and the trading price of our listed securities.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economic and political policies of the PRC government could adversely affect our business.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business, prospects, financial condition, and results of operations are influenced to a significant degree by the political, economic and social conditions in China generally.</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amount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are still owned by the government. In addition, the Chinese government continues to play a significant role in regulating industry development by imposing industrial policies. The Chinese government also plays a significant role in China’s economic growth through allocating resources, controlling payment of foreign currency-denominated obligations, setting monetary policy and providing preferential treatment to particular industries or companies. 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certain measures implemented by the PRC government based on the overall economic situation, such as interest rate adjustment, may affect economic activity in China. Any prolonged slowdown in the Chinese economy may reduce the demand for our products and services and materially and adversely affect our business and results of operations.</w:t>
      </w:r>
    </w:p>
    <w:p>
      <w:pPr>
        <w:spacing w:after="0" w:line="30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and discretion over our business operations and uncertainties with respect to the PRC legal system could result in a material adverse change in our operations and the value of our ADSs and ordinary shares.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conduct our business in China primarily through our wholly-owned PRC subsidiaries, which are governed by PRC laws and regulations applicable to foreign investment in China and, in particular, laws applicable to wholly foreign-owned enterprises. In addition, we depend on several VIEs in China to honor their service agreements with us. Almost all of these agreements are governed by PRC law and disputes arising out of these agreements are expected to be decided by arbitration in China. The PRC legal system is based on written statutes, and prior court decisions may be cited for reference but have limited precedential value. The PRC laws and regulations have significantly enhanced the protections afforded to various forms of foreign investments in China for the past decades. However, since the PRC legal system is still evolving, the interpretations of many laws, regulations, and rules may not always be uniform and enforcement of these laws, regulations and rules involves uncertainties, which may limit remedies available to us and may evolve quickly with little advance notice. In addition, any litigation in China may be protracted and result in substantial costs and diversion of resources and management attention. If we and the VIEs are found to be in violation of any existing or future PRC laws or regulations, or fail to obtain or maintain any of the required permits or approvals, the relevant PRC regulatory authorities would have broad discretion in dealing with such violations, including restructuring. See “—Risks Relating to Our Corporate Structure—PRC laws and regulations restrict foreign investment in certain businesses, and substantial uncertainties exist with respect to the application and implementation of PRC laws and regulations.”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For example, China enacted its amended Company Law, which came into effect on July 1, 2024. The changes are considerable in many respects and will have profound implications for companies incorporated in China, such as the five-year capital contribution timeframe for shareholders of limited liability companies to make their capital contributions in full. In response to these changes, we may need to devote significant efforts and resources to adapt and conform our PRC corporate practices to the new regulatory regime. Moreover, because these laws, regulations, and standards are subject to interpretations, their application in practice may evolve over time as new guidance becomes available. This evolution may result in continued uncertainty regarding compliance matters and additional costs necessitated by ongoing revisions to our disclosure and governance practices. If we fail to address and comply with these regulations and any subsequent changes, we may be subject to penalties and our business may be harmed.</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Furthermore, the PRC government has significant oversight and discretion over the conduct of our business, and may intervene in or influence our operations as the government deems appropriate to advance regulatory and societal goals and policy positions. The PRC government has published new policies that significantly affected certain industries, and we cannot rule out the possibility that the PRC government will in the future release regulations or policies that directly or indirectly affect our industry or require us to seek additional permission to continue our operations, which could result in a material adverse change in our operations and the value of our ADSs and ordinary shares.</w:t>
      </w:r>
    </w:p>
    <w:p>
      <w:pPr>
        <w:spacing w:after="0" w:line="183"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In addition, the PRC government has rolled out a new filing-based regime to regulate overseas offerings and listings by PRC domestic companies. For further details, see “—Risks Relating to Multi-jurisdictional Operations—The approval of and the filing with the CSRC or other PRC government authorities may be required in connection with our offshore offerings in the future under PRC law, and, if required, we cannot predict whether or for how long we will be able to obtain such approval or complete such filing” and “Item 4. Information on the Company—B. Business Overview— Government Regulations—PRC Regulations—Regulations Relating to M&amp;A and Overseas Listings.” Any such action could significantly limit or completely hinder our ability to offer or continue to offer securities to investors and cause the value of our shares and the ADSs to significantly decline or become worthless. Therefore, investors of our company face potential uncertainty from actions taken by the PRC government affecting our business.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currency exchange may adversely affect our operations.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As we operate globally, we collect payments from customers around the world. We may need to convert the currencies we receive into other currencies to fund our global operations and to make dividend payments. Foreign exchange controls in countries in which we operate may limit our ability to exchange currencies. Should relevant regulatory bodies institute protectionist and interventionist laws and policies or restrictive exchange rate policies, such policies could have a material adverse effect on our results of operations or liquidity. For example, because the majority of our revenues are denominated in Renminbi, any restrictions on currency exchange may limit our ability to use Renminbi-denominated revenues to fund our business activities outside China or to make dividend payments in U.S. dollars. The principal PRC regulation governing foreign currency exchange is the Regulations on Administration of Foreign Exchange, as amended. Under these regulations, Renminbi is freely convertible for trade- and service-related foreign exchange transactions, but not for direct investment, loan or investment in securities outside China unless prior approval of SAFE is obtained. Although the PRC regulations now allow greater convertibility of Renminbi for current account transactions, restrictions and limitations still remain. For example, foreign exchange transactions under our subsidiaries’ capital account, including principal payments in respect of foreign currency-denominated obligations, remain subject to foreign exchange restrictions and the approval of SAFE. These regulations could affect our ability to obtain foreign exchange for capital expenditures. We cannot be certain that the PRC regulatory authorities will not impose more stringent restrictions on the convertibility of Renminbi, especially with respect to foreign exchange transactions. The PRC government may also at its discretion restrict access in the future to foreign currencies for current account transactions. If the foreign exchange restriction prevents us from obtaining sufficient foreign currencies to satisfy our foreign currency demands, we may not be able to pay dividends in foreign currencies to our shareholders, including our ADS holders. As a result, the funds in our PRC subsidiaries or the VIEs in China may not be available to fund operations or for other use outside of China due to interventions in, or the imposition of restrictions and limitations on the ability of our holding company, our subsidiaries, or the VIEs by the PRC government on currency conversion.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movements in exchange rates between U.S. dollars and Renminbi may adversely affect the value of our ordinary shares or ADSs.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largely based on rates set by the People’s Bank of China. Renminbi has fluctuated against U.S. dollars, at times significantly and unpredictably. The value of Renminbi against U.S. dollars and other currencies is affected by changes in global economic conditions and foreign exchange policies, among other things. We cannot assure you that Renminbi will not appreciate or depreciate significantly in value against U.S. dollars in the future. It is difficult to predict how market forces or PRC or U.S. government policy may impact the exchange rate in the future.</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majority of our revenues and costs are denominated in Renminbi, while a portion of our financial assets, financial liabilities, and our dividend payments are denominated in U.S. dollars. Very limited hedging options are available in China to reduce our exposure to exchange rate fluctuations. We may use foreign exchange spot, forward, or other contracts to help hedge our exposure to foreign currency risk where we deem necessary, and may adopt additional measures in the future to manage such risk. Any significant revaluation of Renminbi or U.S. dollars may adversely affect our cash flows, earnings and financial position, and the value of, and any dividends payable on, our ADSs. For example, an appreciation of Renminbi against U.S. dollars would make any new Renminbi-denominated investments or expenditures more costly to us, to the extent that we need to convert U.S. dollars into Renminbi for such purposes. An appreciation of Renminbi against U.S. dollars would also result in foreign currency translation losses for financial reporting purposes when we translate our U.S. dollar-denominated financial assets into Renminbi, our reporting currency. Conversely, if we decide to convert Renminbi into U.S. dollars for the purpose of making payments relating to financial liabilities or making payments for dividends on our ordinary shares or the ADSs or for other business purposes, an appreciation of U.S. dollars against Renminbi would have a negative effect on the U.S. dollar amount available to us.</w:t>
      </w:r>
    </w:p>
    <w:p>
      <w:pPr>
        <w:spacing w:after="0" w:line="296" w:lineRule="exact"/>
        <w:rPr>
          <w:sz w:val="20"/>
          <w:szCs w:val="20"/>
          <w:color w:val="auto"/>
        </w:rPr>
      </w:pPr>
    </w:p>
    <w:p>
      <w:pPr>
        <w:ind w:left="12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vehicles by PRC residents and the grant of employee stock options by overseas-listed companies may subject our PRC resident shareholders to personal liability and limit our ability to inject capital into our PRC subsidiaries, limit our subsidiaries’ ability to distribute profits to us, or otherwise adversely affect us.</w:t>
      </w:r>
    </w:p>
    <w:p>
      <w:pPr>
        <w:spacing w:after="0" w:line="67"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On July 4, 2014, SAFE issued the Circular of SAFE on Foreign Exchange Administration of Overseas Investments and Financing and Round-Trip Investments by Domestic Residents via Special Purpose Vehicles, or SAFE Circular 37, which states that (i) a PRC resident, including a PRC domestic resident individual or a PRC domestic institution, must register with the local branch of SAFE before contributing its assets or equity interest in domestic enterprises, or offshore assets or interests into a special purpose vehicle, for the purpose of investment and financing; and (ii) when the special purpose vehicle undergoes changes in basic information, such as changes of its PRC resident natural person shareholders, name or operating period, or occurrence of a material event, such as change in share capital, transfer or replacement of equity of a PRC resident natural person, performance of merger or split, the PRC resident must register such change with the local branch of SAFE in a timely manner. If any PRC shareholder fails to make the required registration or update the previously filed registration, the PRC subsidiary of that offshore parent company may be prohibited from distributing its profits and the proceeds from any reduction in capital, share transfer, or liquidation to their offshore parent company, and the offshore parent company may also be prohibited from injecting additional capital into its PRC subsidiary. Moreover, failure to comply with the various foreign exchange registration requirements described above could result in liability under PRC laws for evasion of applicable foreign exchange restrictions.</w:t>
      </w:r>
    </w:p>
    <w:p>
      <w:pPr>
        <w:spacing w:after="0" w:line="182"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have notified holders of our ordinary shares who we know are PRC residents to register with the local SAFE branches as required under the applicable foreign exchange regulations. The failure or inability of our PRC resident shareholders to comply with the registration procedures set forth therein may subject them to fines and legal sanctions and may also limit our ability to contribute additional capital into our PRC subsidiaries, limit our PRC subsidiaries’ ability to distribute profits to our company or otherwise adversely affect our business.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PRC resident individuals who participate in a share incentive plan of an overseas publicly listed company are required to register with SAFE and complete certain other procedures pursuant to the Circular on Relevant Issues Concerning Foreign Exchange Administration for Domestic Individuals Participating in an Employees Share Incentive Plan of an Overseas-Listed Company promulgated by SAFE on February 15, 2012. All such participants need to retain a PRC agent through PRC subsidiaries to register with SAFE and handle foreign exchange matters such as opening accounts, transfer and settlement of the proceeds. This circular further requires an offshore agent to be designated to handle matters in connection with the exercise of share options and sale of shares for the participants of share incentive plans. We and our PRC employees who have been granted stock options are subject to this circular. If we or our PRC optionees fail to comply with these regulations, we or our PRC optionees may be subject to fines and legal sanctions.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PRC regulations may make it more difficult for us to pursue growth through acquisitions.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Among other things, the Regulation on Mergers and Acquisitions of Domestic Enterprises by Foreign Investors, adopted by six PRC regulatory agencies in 2006 and amended in 2009, and certain other regulations and rules concerning mergers and acquisitions established additional procedures and requirements that could make merger and acquisition activities by foreign investors more time-consuming and complex, including requirements in some instances that the anti-monopoly enforcement authority be notified in advance of any change-of-control transaction in which a foreign investor takes control of a PRC domestic enterprise.</w:t>
      </w:r>
    </w:p>
    <w:p>
      <w:pPr>
        <w:spacing w:after="0" w:line="183"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Moreover, the PRC Anti-Monopoly Law and Provisions of the State Council on the Threshold for the Filing of Concentration of Undertakings require that transactions which are deemed concentration of undertakings and involve parties with specified turnover thresholds (for example, during the previous fiscal year, (i) the total global turnover of all business operators participating in the transaction exceeded RMB12.0 billion and at least two of these business operators each had a turnover of more than RMB800 million within China, or (ii) the total turnover within China of all the business operators participating in the concentration exceeded RMB4.0 billion and at least two of these business operators each had a turnover of more than RMB800 million within China) must be cleared by the anti-monopoly enforcement authority before they can be completed. On February 7, 2021, the Anti-Monopoly Commission of the State Council further issued the Anti-Monopoly Guidelines for the Internet Platform Economy Sector, which aim at specifying some of the circumstances under which activities of internet platforms may be identified as monopolistic acts as well as setting out merger control filing procedures involving variable interest entities. On June 24, 2022, the Standing Committee of the National People’s Congress adopted an amendment to the PRC Anti-Monopoly Law, which introduced a “safe harbor” for vertical monopoly agreements entered into by business operators whose market share falls below a specific threshold to be set by the SAMR, granted the SAMR the power to suspend the review period in merger investigations under specified circumstances, allowed public prosecutors to bring a civil public interest lawsuit based on monopolistic behaviors, and significantly increased the penalties for violation of the PRC Anti-Monopoly Law, among others. This amendment emphasized the enforcement of the PRC Anti-Monopoly Law in the internet and other key industries. The strengthened enforcement of the PRC Anti-Monopoly Law could result in investigations on our acquisitions or investments conducted in the past and make our acquisitions or investments in the future more difficult due to the prior filing requirement. Due to the uncertainties associated with the evolving legislative activities and varied local implementation practices of anti-monopoly and competition laws and regulations in China, it may be costly to adjust some of our business practices in order to comply with these laws, regulations, rules, guidelines and implementations. If we are found to have carried out a concentration of undertakings in violation of the PRC Anti-Monopoly Law, we could be subject to restrictive measures including an order to cease the concentration activities, a fine of up to 10% of our sales revenue from the previous year where such concentration has or may have the effect of excluding or restricting competition, or a fine of up to</w:t>
      </w:r>
    </w:p>
    <w:p>
      <w:pPr>
        <w:spacing w:after="0" w:line="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RMB5 million where such concentration does not have the effect of excluding or restricting competition, or a more severe punitive fine for particularly serious circumstances, and the parts of the transaction causing the prohibited concentration could be ordered to be unwound. The aforesaid penalties and restrictive measures could affect our business and financial results, and harm our reputation. See “—Risks Relating to Our Business and Industry—Our strategy to invest in complementary businesses and assets and establish strategic alliances involves significant risks and uncertainties that may have a material adverse effect on our business, reputation, financial condition, and results of operations.”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71" w:lineRule="auto"/>
        <w:rPr>
          <w:sz w:val="20"/>
          <w:szCs w:val="20"/>
          <w:color w:val="auto"/>
        </w:rPr>
      </w:pPr>
      <w:r>
        <w:rPr>
          <w:rFonts w:ascii="Times New Roman" w:cs="Times New Roman" w:eastAsia="Times New Roman" w:hAnsi="Times New Roman"/>
          <w:sz w:val="17"/>
          <w:szCs w:val="17"/>
          <w:color w:val="auto"/>
        </w:rPr>
        <w:t>In addition, the Circular of the General Office of the State Council on the Establishment of Security Review System for the Merger and Acquisition of Domestic Enterprises by Foreign Investors issued on February 3, 2011 and the Rules on Implementation of Security Review System for the Merger and Acquisition of Domestic Enterprises by Foreign Investors issued by the Ministry of Commerce that came into effect on September 1, 2011 require acquisitions by foreign investors of PRC companies engaged in military-related or certain other industries that are crucial to national security to be subject to security review before consummation of any such acquisition. In December, 2020, the NDRC and the Ministry of Commerce further promulgated the Foreign Investment Security Review Measures, which came into effect on January 18, 2021. These measures require direct or indirect investment by foreign investors of PRC companies engaged in military-related or certain other industries be subject to security review before consummation of any such investment. “Certain other industries” refer to, among others, important transportation services, important cultural products and services, important information technology and internet products and services, and important financial services that are crucial to national security.</w:t>
      </w:r>
    </w:p>
    <w:p>
      <w:pPr>
        <w:spacing w:after="0" w:line="17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order to grow our business,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Ministry of Commerce, may delay or inhibit our ability to complete such transactions, which could affect our ability to expand our business or maintain our market share.</w:t>
      </w:r>
    </w:p>
    <w:p>
      <w:pPr>
        <w:spacing w:after="0" w:line="284" w:lineRule="exact"/>
        <w:rPr>
          <w:sz w:val="20"/>
          <w:szCs w:val="20"/>
          <w:color w:val="auto"/>
        </w:rPr>
      </w:pPr>
    </w:p>
    <w:p>
      <w:pPr>
        <w:ind w:left="120"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registered public accounting firms headquartered in the Chinese mainland (including our independent auditor). The inability of the PCAOB to inspect such registered public accounting firms headquartered in the Chinese mainland (including our independent auditor) in the past has deprived our investors of the benefits of such inspections.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the Chinese mainland,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the Chinese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the Chinese mainland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29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6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the Chinese mainland and Hong Kong and our auditor was subject to that determination. In May 2022, the SEC conclusively listed Trip.com Group Limited as a Commission-Identified Issuer under the HFCAA following the filing of our annual report on Form 20-F for the fiscal year ended December 31, 2021. On December 15, 2022, the PCAOB removed the Chinese mainland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years ended December 31, 2022, 2023, and 2024, and we do not expect to be identified as a Commission-Identified Issuer under the HFCAA after we file this annual report.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the Chinese mainland and Hong Kong, among other jurisdictions. If the PCAOB determines in the future that it no longer has full access to inspect and investigate completely accounting firms in the Chinese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ordinary shares have been listed on the Hong Kong Stock Exchange since April 19, 2021 and the ADSs and ordinary shares are fully fungible, we cannot assure you that an active trading market for our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91" w:lineRule="exact"/>
        <w:rPr>
          <w:sz w:val="20"/>
          <w:szCs w:val="20"/>
          <w:color w:val="auto"/>
        </w:rPr>
      </w:pPr>
    </w:p>
    <w:p>
      <w:pPr>
        <w:ind w:left="120"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approval of and the filing with the CSRC or other PRC government authorities may be required in connection with our offshore offerings in the future under PRC law, and, if required, we cannot predict whether or for how long we will be able to obtain such approval or complete such filing.</w:t>
      </w:r>
    </w:p>
    <w:p>
      <w:pPr>
        <w:spacing w:after="0" w:line="2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February 17, 2023, the CSRC promulgated the Overseas Offering and Listing Measures and published a series of guidance rules and Q&amp;As in connection with the implementation of the Overseas Offering and Listing Measures. These regulations established a filing-based regime to regulate overseas offerings and listings by PRC domestic companies. According to the regulations, an overseas offering of securities by a PRC domestic company, either in a direct or indirect manner, has to be filed with the CSRC. As advised by Commerce &amp; Finance Law Offices, our PRC legal counsel, we are not required to complete the filing procedures with the CSRC for our historical securities offering. Nevertheless, in the event that we conduct any securities offerings that will be captured by the Overseas Offering and Listing Measures in the future, we will have to complete the filing procedures with the CSRC within three business days following the closing of the securities issuance or offering on the Nasdaq Global Select Market or the Hong Kong Stock Exchange, or within three business days following the submission of an application for overseas offering and listing on any other overseas market(s). In addition, the implementation of the Overseas Offering and Listing Measures is still subject to interpretation and evolvement. We cannot assure you that we will be able to strictly comply with the regulatory requirements. If we fail to do so, our business operation, financial condition, results of operations, and business prospects may be materially and adversely affected. For details of the effective and draft regulations relating to offshore offerings by PRC domestic companies, see “Item 4. Information on the Company—B. Business Overview—Government Regulations—PRC Regulations—Regulations Relating to M&amp;A and Overseas Listings.”</w:t>
      </w:r>
    </w:p>
    <w:p>
      <w:pPr>
        <w:spacing w:after="0" w:line="187"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addition, we cannot assure you that any new rules or regulations promulgated in the future will not impose additional requirements on us. Any failure to obtain or delay in obtaining requisite approval(s) or completing requisite filing procedures for our offshore offerings, or a rescission of any such approval or filing if obtained by us, would subject us to sanctions by the CSRC or other PRC government authorities for failure to seek CSRC approval or filing or other government authorization for our offshore offerings. These government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or other PRC government authorities also may take action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government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results of operations, reputation, and the trading price of our listed securities.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cross-border investigation or collect evidence within China.</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may be difficult to pursue as a matter of law or practicality in foreign countries. For example, the Circular on Strengthening the Confidentiality and Archives Administration Relating to Overseas Issuance and Listing of Securities by Domestic Companies was jointly promulgated by the CSRC, the Ministry of Finance, the National Administration of State Secrets Protection and the National Archives Administration of China, and came into effect on March 31, 2023, pursuant to which, a PRC domestic company must obtain approvals and make filings with the authorities when providing or publicly disclosing, by itself or through the overseas listing entity, any document or material that involves state secrets or state organs work secret. In addition, pursuant to this circular, any investigation, collection of evidence or inspection targeting China-based issuers, securities companies and security service institutions proposed by overseas securities regulatory authorities and the competent departments must be carried out through cross-border regulatory cooperation mechanism and obtain approval from the CSRC or the competent departments.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mutual and practical cooperation mechanism. Furthermore, according to Article 177 of the PRC Securities Law, which came into effect in March 2020, no overseas securities regulator is allowed to directly conduct investigations or evidence collection activities within the PRC territory, and, without the consent by the PRC securities regulatory authorities and the other competent government agencies, no entity or individual may provide documents or materials related to securities business overseas. In addition, the PRC Data Security Law and the PRC Personal Information Protection Law provide that no entity or individual within the PRC territory must provide any foreign judicial body and law enforcement body with any data or any personal information stored within the PRC territory without the approval of the competent PRC government authority. While detailed interpretations of or implementation rules under these laws have yet to be promulgated, the inability for an overseas securities regulator to directly conduct investigation or evidence collection activities within China may further increase the difficulties you face in protecting your interests.</w:t>
      </w:r>
    </w:p>
    <w:p>
      <w:pPr>
        <w:spacing w:after="0" w:line="29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may delay or prevent us from using the proceeds from the offerings of any securities to make loans or additional capital contributions to our PRC operating subsidiaries.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an offshore holding company, our ability to make loans or additional capital contributions to our PRC operating subsidiaries is subject to PRC regulations and approvals. These regulations and approvals may delay or prevent us from using the proceeds we received in the past or will receive in the future from the offerings of securities to make loans or additional capital contributions to our PRC operating subsidiaries and the VIEs, and impair our ability to fund and expand our business which may adversely affect our business, financial condition and results of operations. See “Item 4. Information on the Company—B. Business Overview—Government Regulations—PRC Regulations—Regulations Relating to Foreign Exchange Supervision” for details.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by us to our PRC subsidiaries or with respect to future capital contributions by us to our PRC subsidiaries. If we fail to complete such registrations or obtain such approvals, our ability to use the proceeds we received from our various offerings and to capitalize or otherwise fund our PRC operations may be negatively affected, which could materially and adversely affect our liquidity and our ability to fund and expand our business.</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leasehold interests in leased properties have not been registered with the PRC government authorities as required by PRC law, which may expose us to potential fines.</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Certain of our leasehold interests in leased properties have not been registered with the PRC government authorities as required by PRC law, which may expose us to potential fines if we fail to remediate after receiving any notice from the PRC government authorities. In case of failure to register or file a lease, the parties to the unregistered lease may be ordered to make rectifications (which would involve registering such leases with the authority) before being subject to penalties. The penalty ranges from RMB1,000 to RMB10,000 for each unregistered lease, at the discretion of the authority. We are unable to control whether and when the applicable lessors will complete or cooperate with us to complete the registration in a timely manner. In the event that a fine is imposed on both the lessor and lessee, and if we are unable to recover from the lessor any fine paid by us, such fine will be borne by us.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laws and regulations restrict foreign investment in certain businesses, and substantial uncertainties exist with respect to the application and implementation of PRC laws and regulations.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Trip.com Group Limited is an exempted company with limited liability incorporated in the Cayman Islands and a foreign person under PRC law. PRC laws and regulations restrict foreign investment in certain businesses, including the value-added telecommunications industries. As a result, we conduct part of our business through contractual arrangements with the VIEs. These VIEs hold the licenses and approvals that are essential for our business operations. However, as Trip.com Group Limited is a Cayman Islands holding company with no equity ownership in the VIEs, investors in our ADSs or the ordinary shares thus are not purchasing equity interest in the VIEs in China but instead are purchasing equity interest in a Cayman Islands holding company. If the PRC government deems that our contractual arrangements with the VIEs do not comply with PRC regulatory restrictions on foreign investment in the industries that our business may relate to, or if these regulations or the interpretation of existing regulations change or are interpreted differently in the future, we could be subject to severe penalties or be forced to relinquish our interests in those operations. We may not be able to repay the notes and other indebtedness, and our shares may decline in value or become worthless, if we are unable to assert our contractual rights over the assets of the VIEs, which constituted 5% of our total assets as of December 31, 2025. Our holding company in the Cayman Islands,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group. The PRC regulatory authorities could disallow the VIE structure, which would likely result in a material change in our operations and cause the value of our securities, including those that we may register for sale, to significantly decline or become worthless.</w:t>
      </w:r>
    </w:p>
    <w:p>
      <w:pPr>
        <w:spacing w:after="0" w:line="19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opinion of our PRC legal counsel, Commerce &amp; Finance Law Offices, our current ownership structure, the ownership structure of our subsidiaries and the VIE structure, and the contractual arrangements among us, our subsidiaries, the VIEs and their shareholders, as described in this annual report, are in compliance with existing PRC laws, rules, and regulations. There are, however, substantial uncertainties regarding the interpretation and application of current or future PRC laws and regulations. Accordingly, we cannot assure you that PRC government authorities will not ultimately take a view contrary to the opinion of our PRC legal counsel.</w:t>
      </w:r>
    </w:p>
    <w:p>
      <w:pPr>
        <w:spacing w:after="0" w:line="183"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If we and the VIEs are found to be in violation of any existing or future PRC laws or regulations, the governmental authorities may exercise their broad discretion in accordance with the applicable laws and regulations in dealing with such violation, including, without limitation, levying fines, confiscating our income or the income of the VIEs, revoking our business licenses or the business licenses of the VIEs, requiring us and the VIEs to restructure our ownership structure or operations, and requiring us or the VIEs to discontinue any portion or all of our value-added telecommunications businesses. In particular, if the PRC government authorities impose penalties that cause us to lose our rights to direct the activities of and receive economic benefits from the VIEs, we may lose the ability to consolidate and reflect in our financial statements the operation results of the VIEs in accordance with the U.S. GAAP, which would have a material adverse effect on our operations and result in the value of the securities diminishing substantially. Our shares may decline in value if we are unable to assert our contractual rights over the assets of the VIEs that conduct a substantial part of our operations. Our holding company in the Cayman Islands,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group. Any of these actions could cause significant disruption to our business operations, and may materially and adversely affect our business, financial condition, and results of operations.</w:t>
      </w:r>
    </w:p>
    <w:p>
      <w:pPr>
        <w:spacing w:after="0" w:line="19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the PRC Foreign Investment Law does not touch upon the concepts and regulatory regimes that were historically suggested for the regulation of VIE structures, and thus this regulatory topic remains unclear thereunder. Therefore, uncertainties with respect to its implementation and interpretation exist, and it is also possible that the VIE entities will be deemed as foreign-invested enterprises and be subject to restrictions in the future. Such restrictions may cause interruptions to our operations and may incur additional compliance cost, which may in turn materially and adversely affect our business,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Furthermore, although we are not aware of any actual or threatened investigation, inquiry or other action by the SEC, Nasdaq, or any other regulatory authority with respect to the consolidation of the VIEs, we cannot assure you that we will not be subject to any such investigation or inquiry in the future. In the event we are subject to any regulatory investigation or inquiry relating to the VIEs, including the consolidation of such entities into our financial statements, or any other matters, we may need to spend a significant amount of time and expenses in connection with the investigation or inquiry, our reputation may be harmed regardless of the outcome, and the trading price of our ADSs or ordinary shares may materially decline or fluctuate.</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VIEs violate our contractual arrangements with them, our business could be disrupted, our reputation may be harmed and we may have to resort to litigation to enforce our rights, which may be time-consuming and expensive.</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As the PRC government restricts foreign ownership of certain businesses, such as the value-added telecommunications businesses in China, we depend on the VIEs, in which we have no ownership interest, to conduct part of our business activities through a series of contractual arrangements, which provide us with a “controlling financial interest” in the VIEs as defined in FASB ASC 810 by entitling us to (i) the power to direct activities of the VIEs that most significantly affect their economic performance, and (ii) the right to receive the economic benefits from the VIEs that could be significant to them. Although we have been advised by our PRC legal counsel, Commerce &amp; Finance Law Offices, that the contractual arrangements as described in this annual report are valid, binding, and enforceable under current PRC laws, these arrangements are not as effective in providing control as direct ownership of these businesses. For example, the VIEs could violate our contractual arrangements with them by, among other things, failing to pay us for our consulting or other services. In any such event, we would have to rely on the PRC legal system for the enforcement of those agreements, which could have uncertain results. Any legal proceeding could result in the disruption of our business, damage to our reputation, diversion of our resources and incurrence of substantial costs. See “—Risks Relating to Multi-jurisdictional Operations—The PRC government’s significant oversight and discretion over our business operations and uncertainties with respect to the PRC legal system could result in a material adverse change in our operations and the value of our ADSs and ordinary shares.”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principal shareholders of the VIEs have potential conflict of interest with us, which may adversely affect our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Some of our employees and senior consultants were also the principal shareholders of the VIEs as of the date of this annual report. Thus, a conflict of interest between their duties to our company and their interests in the VIEs may arise. We cannot assure you that when conflict of interest arises, these persons will act entirely in our interests or that the conflict of interest will be resolved in our favor. In addition, these persons could violate their non-competition obligations under service contracts with us or their legal duties by diverting business opportunities from us to others, resulting in our loss of corporate opportunities. In any such event, we would have to rely on the PRC legal system for the enforcement of these agreements, which could have uncertain results. Any legal proceeding could result in the disruption of our business, diversion of our resources and incurrence of substantial costs. See “—Risks Relating to Multi-jurisdictional Operations—The PRC government’s significant oversight and discretion over our business operations and uncertainties with respect to the PRC legal system could result in a material adverse change in our operations and the value of our ADSs and ordinary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contractual arrangements with the VIEs may result in adverse tax consequences to us.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 result of our corporate structure and the contractual arrangements between us and the VIEs, we are effectively subject to the 6% PRC value-added tax on both revenues generated by the VIEs’ operations in China and revenues derived from our contractual arrangements with the VIEs. We might be subject to adverse tax consequences if the PRC tax authorities were to determine that the contracts between us and the VIEs were not made on an arm’s length basis and therefore constitute favorable transfer pricing arrangements. If this occurs, the PRC tax authorities could request that the VIEs adjust their taxable income upward for PRC tax purposes. Such an adjustment could adversely affect us by increasing the VIEs’ tax expenses without reducing our tax expenses, which could subject the VIEs to late payment fees and other penalties for underpayment of taxes, and/or result in the loss of the tax benefits available to our subsidiaries in China. The PRC Enterprise Income Tax Law requires every enterprise in China to submit its annual enterprise income tax return together with a report on transactions with its affiliates to the tax authorities. The tax authorities may impose reasonable adjustments on taxation if they have identified any related party transactions that are inconsistent with arm’s length principles. As a result, our contractual arrangements with the VIEs may result in adverse tax consequences to us.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PRC subsidiaries are subject to restrictions on paying dividends or making other payments to us while the VIEs can only make payments to us in accordance with the contractual arrangements, which may restrict our ability to satisfy our liquidity requirements.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rely on dividends from our PRC subsidiaries and service fees paid to us by the VIEs. Under the PRC laws and regulations, our PRC subsidiaries cannot distribute any dividends until any losses from prior fiscal years have been offset. Also, our PRC subsidiaries cannot distribute their statutory reserve, which refers to the statutory reserve funds that PRC entities are required to set aside in accordance with PRC laws and regulations from their respective after-tax profit each year, if any, until such statutory reserve funds reach 50% of the registered capital of the respective PRC subsidiaries, as cash dividends. Meanwhile, the VIEs can only make payments to us in accordance with the contractual arrangements that we entered into with them. Moreover, as our PRC subsidiaries and the VIEs may incur debt on their own behalf, some of the instruments governing the debt may also restrict their ability to pay dividends or make other payments to us, which may in turn restrict our ability to satisfy our liquidity requirements.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PRC Enterprise Income Tax Law, its implementing rules, and a circular of Taxation on Several Preferential Policies on Enterprise Income Tax issued by the Ministry of Finance and the State Taxation Administration in February 2008, the dividends declared out of the profits earned after January 1, 2008 by a foreign-invested enterprise to its immediate offshore holding company are subject to a 10% withholding tax unless such offshore holding company’s jurisdiction of incorporation has a tax treaty with China that provides for a different withholding arrangement, and certain supplementary requirements and procedures stipulated by the State Taxation Administration for such tax treaty are met and observed. Some of our PRC subsidiaries are considered foreign-invested enterprises that are directly or indirectly held by our subsidiaries in Hong Kong. According to the currently effective tax treaty between the Chinese mainland and Hong Kong, dividends payable by a foreign-invested enterprise in China to a company in Hong Kong that directly holds at least 25% of the equity interests in the foreign-invested enterprise will be subject to a withholding tax of 5% provided certain conditions could be met.</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the Notice of the State Taxation Administration on Issues regarding the Implementation of the Dividend Provision in Tax Treaties promulgated in February 2009, the taxpayer needs to satisfy certain conditions to enjoy the benefits on dividends under a tax treaty. These conditions include, but are not limited to: (i) the taxpayer must be the beneficial owner of the dividends, and (ii) the corporate shareholder to receive dividends from the PRC subsidiaries must have met the direct ownership thresholds during the 12 consecutive months preceding the receipt of the dividends. Further, the State Taxation Administration promulgated the Announcement of the Certain Issues with Respect to the “Beneficial Owner” in Tax Treaties in February 2018, which sets forth certain detailed factors in determining “beneficial owner” status, and specifically, if an applicant’s business activities do not constitute substantive business activities, the applicant will not qualify as a “beneficial owner.”</w:t>
      </w:r>
    </w:p>
    <w:p>
      <w:pPr>
        <w:spacing w:after="0" w:line="18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Entitlement to a lower tax rate on dividends according to tax treaties or arrangements between the PRC central government and governments of other countries or regions is further subject to the Administrative Measures for Non-Resident Taxpayers to Enjoy Treatments under Tax Treaties promulgated by the State Taxation Administration on October 14, 2019, effective and came into effect on January 1, 2020, which provides that non-resident enterprises are not required to obtain pre-approval from the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collect and retain materials for reference in accordance with these treaties, and accept supervision and management from the tax authorities afterwards. As a result, we cannot assure you that we will be entitled to any preferential withholding tax rate under tax treaties for dividends received from our PRC subsidiaries.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82"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tax resident of certain jurisdictions for income tax purposes, such classification could result in unfavorable tax consequences to us and our shareholders or ADS holders.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Certain jurisdictions in which we conduct business have adopted tax laws and regulations that impose income tax or other adverse tax consequences on foreign enterprises if they are deemed to be tax residents of such jurisdictions. The tax resident status is generally subject to determination by the local tax authorities, and there can be uncertainties with such determination. If the tax authorities of a certain jurisdiction other than Cayman Islands determine that we are a tax resident there for income tax purposes, we could be subject to tax on our worldwide income or other adverse tax consequences, which could materially reduce our net income. In addition, our shareholders (including our ADS holders) may be subject to tax on gains realized on the sale or other disposition of ADSs or ordinary shares or on the dividends we pay to them. Any such tax may reduce the returns on your investment in the ADSs or ordinary shares.</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equity ownership in the VIEs, such ownership transfer requires approval from or filings with PRC governmental authorities and is subject to taxation, which may result in substantial costs to us.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contractual arrangements, the primary beneficiaries of the VIEs have their respective exclusive rights to purchase all or any part of the equity interests in the applicable VIEs from the respective shareholders of these VIEs for a price that is the higher of (i) the amount of capital contribution to such VIEs, or the consideration paid in exchange for the equity interests in such VIEs, or (ii) another minimum price as permitted by the then applicable PRC laws. Such equity transfers may be subject to approvals from, or filings with, the PRC authorities. In addition, the equity transfer prices may be subject to review and adjustment for tax determination by the tax authorities. Moreover, the shareholders of the VIEs, under the circumstances of such equity transfers, will be subject to PRC individual income tax on the difference between the equity transfer prices and the then current registered capital of the VIEs. The shareholders of such VIEs will pay, after deducting such taxes, the remaining amount to the primary beneficiaries of the VIEs, as appropriate, under the applicable contractual arrangements. The amount to be received by the primary beneficiaries of the VIEs may also be subject to enterprise income tax.</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 of equity interests in PRC resident enterprises by their non-PRC holding companies.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face uncertainties regarding the reporting on and consequences of previous private equity financing transactions involving the transfer and exchange of shares in our company by non-PRC resident investors. On February 3, 2015, the State Taxation Administration issued Announcement on Several Issues Concerning the Enterprise Income Tax on Indirect Property Transfers by Non-PRC Resident Enterprises, or STA Notice No. 7. Pursuant to STA Notice No. 7, an “indirect transfer” of PRC assets, including a transfer of equity interests in an unlisted non-PRC holding company of a PRC resident enterprise by non-PRC resident enterprises may be re-characterized and treated as a direct transfer of the underlying PRC assets, if such arrangement does not have a reasonable commercial purpose and was established for the purpose of avoiding payment of PRC enterprise income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by a non-PRC resident enterprise except for certain circumstances. On October 17, 2017, the State Taxation Administration issued a Notice Concerning Withholding Income Tax of Non-Resident Enterprise, or STA Notice No. 37, which abolishes certain provisions of STA Notice No. 7. STA Notice No. 37 further reduces the burden of withholding obligator, such as revocation of contract filing requirements and tax liquidation procedures, strengthens the cooperation of tax authorities in different places, and clarifies the calculation of tax payable and the mechanism of foreign exchange.</w:t>
      </w:r>
    </w:p>
    <w:p>
      <w:pPr>
        <w:spacing w:after="0" w:line="190"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There is uncertainty as to the application of STA Notice No. 7 and STA Notice No. 37. In the event that non-PRC resident investors were involved in our private equity financing transactions and such transactions were determined by the competent tax authorities as lacking reasonable commercial purposes, we and our non-PRC resident investors may become at risk of being taxed under STA Notice No. 7 and STA Notice No. 37 and may be required to expend costly resources to comply with STA Notice No. 7 and STA Notice No. 37, or to establish a case to be tax exempt under STA Notice No. 7 and STA Notice No. 37, which may cause us to incur additional costs and may have a negative impact on the value of your investment in us.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PRC tax authorities have discretion under STA Notice No. 7 and STA Notice No. 37 to adjust the taxable capital gains based on the difference between the fair value of the transferred equity interests and the investment cost. We may pursue acquisitions in the future that may involve complex corporate structures. If we are deemed as a non-PRC resident enterprise under the PRC Enterprise Income Tax Law and if the PRC tax authorities adjust the taxable income of the transactions under STA Notice No. 7 and STA Notice No. 37, our income tax expenses associated with such potential acquisitions will increase, which may have an adverse effect on our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Risks Relating to Our Ordinary Shares and ADSs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prices of our listed securities have been and are likely to continue to be volatile, which could result in substantial losses to our investors.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trading prices of our listed securities have been and are likely to continue to be volatile and could fluctuate widely in response to a variety of market and industry conditions broadly, as well as factors specific to our company, many of which are beyond our control.</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Investor sentiment toward our listed securities may be adversely affected by broad market and industry conditions, such as negative developments, underperformance, or volatility in the trading prices of other listed companies within the internet or travel industry. In addition, macroeconomic and geopolitical developments, fluctuations in currency exchange rates, and overall stock market movements, which often occur independent of individual companies’ performance, can disproportionately affect the trading prices of our listed securities. These factors may cause the trading prices of our listed securities to fluctuate substantially, regardless of our actual operating results.</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prices and trading volume for listed securities may be highly volatile due to factors specific to our company, including, but not limited to, the following:</w:t>
      </w:r>
    </w:p>
    <w:p>
      <w:pPr>
        <w:spacing w:after="0" w:line="67" w:lineRule="exact"/>
        <w:rPr>
          <w:sz w:val="20"/>
          <w:szCs w:val="20"/>
          <w:color w:val="auto"/>
        </w:rPr>
      </w:pPr>
    </w:p>
    <w:p>
      <w:pPr>
        <w:ind w:left="1080" w:right="5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operating results and variations in our results of operations that are not in line with market or research analyst expectations or changes in financial estimates by securities research analysts;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 and service offerings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major business terms between our ecosystem partners and us;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made by us or our competitors of new features or functionalities or other product and service offerings, investments, acquisitions, strategic relationships, joint ventures, or capital commitments;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and other reports, whether or not true, about our business, our directors, senior management, or other key employees, including negative reports published by short sellers, regardless of their veracity or materiality to us;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contagious diseases or similar adverse public health developments, extreme unexpected bad weather, severe natural disasters, political or market instability or disruptions, actual or perceived social unrest and their impacts on the internet or travel industry;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allegations or proceedings that involve us, our directors, or our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key personnel;</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or other dispositions of existing or additional shares and/or ADSs or other equity or equity-linked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repurchase program;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users, licensors and other ecosystem partners;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volume fluctuations in the stock market in general.</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Substantial declines or volatility in the trading prices of our securities may expose us to additional risks and challenges. In the past, following periods of instability in the market price of a company’s securities, shareholders have often instituted securities class action suits against that company. Should we become the target of this type of litigation, it could result in substantial costs and divert our management’s attention from other business concerns, and, if adversely determined, could materially and adversely affect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adopt different practices as to certain matters as compared with many other companies listed on the Hong Kong Stock Exchange.</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We completed our public offering in Hong Kong in April 2021, and the trading of our ordinary shares on the Hong Kong Stock Exchange commenced on April 19, 2021 under the stock code “9961.” As a company listed on the Hong Kong Stock Exchange pursuant to Chapter 19C of the Rules Governing the Listing of Securities on The Stock Exchange of Hong Kong Limited, or the Hong Kong Listing Rules, we are not subject to certain provisions of the Hong Kong Listing Rules pursuant to Rule 19C.11, including, among others, rules on notifiable transactions, connected transactions, share schemes, content of financial statements as well as certain other continuing obligations. In addition, in connection with the listing of our ordinary shares on the Hong Kong Stock Exchange, we have applied for, and been granted, a number of waivers and/or exemptions from strict compliance with the Hong Kong Listing Rules, the Companies (Winding Up and Miscellaneous Provisions) Ordinance, the Takeovers Codes and the Securities and Futures Ordinance (Chapter 571 of the Laws of Hong Kong), as amended or supplemented from time to time. As a result, we have adopted different practices as to those matters as compared with other companies listed on the Hong Kong Stock Exchange that do not enjoy those exemptions or waivers.</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if 55% or more of the total worldwide trading volume, by dollar value, of our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Companies (Winding Up and Miscellaneous Provisions) Ordinance, the Takeovers Codes and the Securities and Futures Ordinance (Chapter 571 of the Laws of Hong Kong), as amended or supplemented from time to time, which could result in us having to amend our corporate structure and memorandum and articles of association and we may incur incremental compliance costs.</w:t>
      </w:r>
    </w:p>
    <w:p>
      <w:pPr>
        <w:spacing w:after="0" w:line="291"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ordinary shares, ADSs or other equity securities in the public market could cause the prices of our listed securities to decline.</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the future, we may sell additional ordinary shares, ADSs, or other equity securities to raise capital, and our existing shareholders could sell substantial amounts of ordinary shares and ADSs, including those issued upon the exercise of outstanding options, in the public market. We cannot predict the size of such future issuance or the effect, if any, that they may have on the market prices for our listed securities. The issuance and sale of a substantial amounts of ordinary shares, ADSs, or other equity securities, or the perception that such issuances and sales may occur, could adversely affect the market price of our listed securities and impair our ability to raise capital through the sale of additional equity securities.</w:t>
      </w:r>
    </w:p>
    <w:p>
      <w:pPr>
        <w:spacing w:after="0" w:line="28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6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a Cayman Islands company listed on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As we have chosen, or may from time to time choose, to follow home country practice exemptions with respect to certain corporate matters such as the requirement of shareholder approval for adoption of and material amendment to our equity-based compensation plans, our shareholders may be afforded less protection than they otherwise would under the Nasdaq corporate governance listing standards applicable to U.S. domestic issuers. See “Item 16G. Corporate Governance.”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U.S. Exchange Act, and as such we are exempt from certain provisions applicable to U.S. domestic public companies.</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U.S. Exchange Act, we are exempt from certain provisions of the securities rules and regulations in the United States that are applicable to U.S. domestic issuers, including:</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U.S. Exchange Act requiring the filing with the SEC of quarterly reports on Form 10-Q or current reports on Form 8-K;</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regulating the solicitation of proxies, consents, or authorizations in respect of a security registered under the U.S. Exchange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regulating liability for insiders who profit from trades made in a short period of time;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addition, on June 4, 2025, the SEC issued a concept release soliciting public input on whether the definition of foreign private issuer should be amended, including possible changes to the eligibility criteria and the regulatory framework applicable to foreign private issuers. Any changes to the SEC’s rules could result in new or more stringent requirements for foreign private issuers or could cause us to lose our status as a foreign private issuer. If the SEC adopts new rules or amends existing rules in a manner that affects our eligibility as a foreign private issuer, we could become subject to additional U.S. regulatory and reporting requirements applicable to domestic issuers, which could increase our compliance costs and require significant management attention and resources. There can be no assurance as to the timing or outcome of any such regulatory changes, or the impact they may have on our business, operations, or reporting obligations.</w:t>
      </w:r>
    </w:p>
    <w:p>
      <w:pPr>
        <w:spacing w:after="0" w:line="293"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corporate governance requirements of Nasdaq; these practices may afford less protection to shareholders than they would enjoy if we comply fully with the corporate governance requirements of Nasdaq.</w:t>
      </w:r>
    </w:p>
    <w:p>
      <w:pPr>
        <w:spacing w:after="0" w:line="6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Nasdaq corporate governance listing standards. For example, neither the Companies Act (As Revised) of the Cayman Islands, or the Companies Act, nor our fourth amended and restated memorandum and articles of association requires a majority of our directors to be independent and we could include non-independent directors as members of our compensation committee and nominating committee, and our independent directors would not necessarily hold regularly scheduled meetings at which only independent directors are present. If we choose to follow other home country practice in the future, our shareholders may be afforded less protection than they otherwise would under Nasdaq corporate governance listing standards applicable to U.S. domestic issuers.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bring actions against us or our management in the jurisdictions where we operate.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a substantial portion of our assets and operations are located outside the United States. The majority of our directors and officers are nationals or residents of non-U.S. jurisdictions and most of their assets are located outside of the United States. As a result, it may be difficult for you to effect service of process upon us or our directors and officers. It may be difficult for you to enforce in U.S. courts judgments obtained in U.S. courts based on the civil liability provisions of the U.S. federal securities law against us and our directors and officers. In addition, there is uncertainty as to whether the courts of the Cayman Islands, Singapore, the PRC or elsewhere would recognize or enforce judgments of U.S. courts against us or such persons predicated upon the civil liability provisions of the securities laws of the United States or any state.</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 is no statutory recognition in the Cayman Islands of judgments obtained in the United States, although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final and conclusive, (ii) is not in respect of taxes, a fine or a penalty, (iii) is not inconsistent with a Cayman Islands judgment in respect of the same matter, and (iv) is not impeachable on the grounds of fraud and was not obtained in a manner and is not of a kind the enforcement of which is contrary to natural justice or the public policy of the Cayman Islands (such as awards of punitive or multiple damages).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 You may also experience difficulties in enforcing judgments of the United States courts obtained against us or our directors or executive officers in the Chinese mainland or Hong Kong as the United States and the Chinese mainland or Hong Kong do not have a bilateral treaty or multilateral convention in force on reciprocal recognition and enforcement of judgments. As a result, any United States judgment may only be enforceable in the Chinese mainland or Hong Kong provided that the conditions set forth in the laws of these jurisdictions are determined by the courts of the Chinese mainland or Hong Kong, as applicable, to have been fulfilled. For details of the limitations relating to the enforceability of civil liabilities, see “Item 6. Directors, Senior Management and Employees—E. Share Ownership—Enforceability of Civil Liabilities.”</w:t>
      </w:r>
    </w:p>
    <w:p>
      <w:pPr>
        <w:spacing w:after="0" w:line="19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corporate affairs are governed by our memorandum and articles of association, as amended from time to time and by the Companies Act (As Revised) of the Cayman Islands and the common law of the Cayman Islands. The rights of shareholders to take legal action against us and our directors, actions by minority shareholders, and the fiduciary duties of our directors are to a large extent governed by the common law of the Cayman Islands. The common law of the Cayman Islands is derived in part from comparatively limited judicial precedent in the Cayman Islands as well as from English common law, which provides persuasive, but not binding, authority in a court in the Cayman Islands. The rights of our shareholders and the fiduciary duties of our directors under Cayman Islands law are not as clearly established as they would be under statutes or judicial precedents in some jurisdictions in the United States. In particular, the Cayman Islands has a less developed body of securities laws as compared to the United States. In addition, Cayman Islands companies may not have standing to initiate a shareholder derivative action in a federal court of the United States.</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a result, our public shareholders may have more difficulties in protecting their interests in the face of actions by our management, directors or controlling shareholders than would shareholders of a corporation incorporated in a jurisdiction in the United States.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ADS holders are limited by the terms of the deposit agreement, and ADS holders may not be able to exercise their right to direct how the ordinary shares represented by the ADSs are voted.</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Holders of our ADSs will not have any right to attend general meetings of our shareholders or to cast any votes directly at such meetings, and will only be able to exercise the voting rights that attach to the underlying ordinary shares represented by the ADSs indirectly by giving voting instructions to the depositary in accordance with the provisions of the deposit agreement. Under the deposit agreement, ADS holders may vote only by giving voting instructions to the depositary, as the registered holder of the underlying ordinary shares which are represented by your ADSs. Upon receipt of voting instructions from ADS holders, the depositary will endeavor to vote the underlying ordinary shares in accordance with such instructions. Holders of the ADSs will not be able to directly exercise any right to vote with respect to the underlying shares unless ADS holders withdraw the shares and become the registered holders of such shares prior to the record date for the general meeting. Under our memorandum and articles of association, the minimum notice period required to be given by our company to our registered shareholders for convening a general meeting is seven days. When a general meeting is convened, there may not be a sufficient advance notice to enable ADS holders to withdraw the underlying shares represented by the ADSs and become the registered holder of such shares prior to the record date for the general meeting to allow ADS holder to attend the general meeting and to vote directly with respect to any specific matter or resolution that is to be considered and voted upon at the general meeting. 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shares which are represented by your ADSs and becoming the registered holder of such shares prior to the record date, so that you would not be able to attend the general meeting or to vote directly. Where any matter is to be put to a vote at a general meeting, if we ask it to, the depositary will endeavor to notify ADS holders of the upcoming vote and arrange to deliver our voting materials to ADS holders. We cannot assure that ADS holders will receive the voting materials in time to ensure that they can instruct the depositary to vote the underlying shares that are represented by their ADSs. In addition, the depositary and its agents are not responsible for failing to carry out voting instructions or for the manner of carrying out voting instructions. This means that ADS holders may not be able to exercise their right to direct the voting of the underlying shares that are represented by their ADSs and there may be nothing ADS holders can do if the shares underlying the ADSs are not voted as they requested.</w:t>
      </w:r>
    </w:p>
    <w:p>
      <w:pPr>
        <w:spacing w:after="0" w:line="18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Under our deposit agreement, the depositary will give us a discretionary proxy to vote the ordinary shares underlying the ADSs at shareholders’ meetings if ADS holders do not vote, unless we have instructed the depositary that we do not wish a discretionary proxy to be given or any of the other situations specified under the deposit agreement takes place. The effect of this discretionary proxy is that ADS holders cannot prevent ordinary shares underlying the ADSs from being voted, absent the situations described above, and it may make it more difficult for shareholders to influence the management of our company. Holders of our ordinary shares are not subject to this discretionary proxy.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right of ADS holders to participate in any future rights offerings may be limited, which may cause dilution to their holders.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the ADS holders unless we register the rights and the securities to which the rights relate under the Securities Act of 1933, as amended, or the Securities Act, or an exemption from the registration requirements is available. Also, under the deposit agreement, the depositary bank will not make these rights available to the ADS holders unless the distribution to ADS holders of both the rights and any related securities is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w:t>
      </w:r>
    </w:p>
    <w:p>
      <w:pPr>
        <w:spacing w:after="0" w:line="296"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ADSs may not receive distributions on ordinary shares or any value for them if it is illegal or impractical to make them available to holders of ADSs.</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depositary has agreed to pay to ADS holders the cash dividends or other distributions it or the custodian receives on ordinary shares or other deposited securities after deducting its fees and expenses. ADS holders will receive these distributions in proportion to the number of ordinary shares their ADSs represent. However, the depositary is not responsible if it decides that it is unlawful or impractical to make a distribution available to any ADS holders. We have no obligation to register ADSs, ordinary shares, rights or other securities under U.S. securities laws. We also have no obligation to take any other action to permit the distribution of ADSs, ordinary shares, rights or anything else to ADS holders. This means that ADS holders may not receive the distributions we make on our ordinary shares or any value for them if it is illegal or impractical for us to make them available to ADS holders. These restrictions may have a material adverse effect on the value of the ADSs.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may be subject to limitations on transfer of their ADSs.</w:t>
      </w:r>
    </w:p>
    <w:p>
      <w:pPr>
        <w:spacing w:after="0" w:line="121" w:lineRule="exact"/>
        <w:rPr>
          <w:sz w:val="20"/>
          <w:szCs w:val="20"/>
          <w:color w:val="auto"/>
        </w:rPr>
      </w:pPr>
    </w:p>
    <w:p>
      <w:pPr>
        <w:jc w:val="both"/>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thinks it advisable to do so because of any requirement of law or of any government or governmental body, or under any provision of the deposit agreement, or for any other reason.</w:t>
      </w:r>
    </w:p>
    <w:p>
      <w:pPr>
        <w:spacing w:after="0" w:line="268"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rights agreement could delay or prevent an acquisition of our company, even if the acquisition would be beneficial to our shareholders.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November 2007, we implemented a defense mechanism against potential hostile takeovers through a shareholder rights plan pursuant to a rights agreement, which was subsequently amended. The shareholder rights plan will be accounted for as a dividend in our financial statements upon the exercise of the shareholder rights. Although the rights plan will not prevent a takeover, it is intended to encourage anyone seeking to acquire our company to negotiate with our board of directors prior to attempting a takeover by potentially significantly diluting an acquirer’s ownership interest in our outstanding shares. As the shareholder rights plan generally allows shareholders, except for the acquirer who triggers the exercise of the rights, to purchase additional shares at a significantly discounted market price, the potential dilution effect is dependent on the number of shares purchased by the acquirer and other factors related to the acquisition, and may not be estimated at this time. In addition, the existence of the rights plan may also discourage transactions that otherwise could involve payment of a premium over prevailing market prices for the ADSs.</w:t>
      </w:r>
    </w:p>
    <w:p>
      <w:pPr>
        <w:spacing w:after="0" w:line="29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or PFIC, which may result in adverse U.S. federal income tax consequences for U.S. holders of the ADSs or ordinary shares.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w:t>
      </w:r>
    </w:p>
    <w:p>
      <w:pPr>
        <w:spacing w:after="0" w:line="27" w:lineRule="exact"/>
        <w:rPr>
          <w:sz w:val="20"/>
          <w:szCs w:val="20"/>
          <w:color w:val="auto"/>
        </w:rPr>
      </w:pPr>
    </w:p>
    <w:p>
      <w:pPr>
        <w:ind w:left="120" w:right="60" w:hanging="4"/>
        <w:spacing w:after="0" w:line="253"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For this purpose, cash is categorized as a passive asset and the company’s unbooked intangibles associated with active business activity are taken into account as non-passive assets.</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Based on the market price of our ADSs and the nature and composition of our income and assets, we do not believe that we were a PFIC for the taxable year ended December 31, 2025, and we do not expect to be a PFIC for the foreseeable future. However, no assurances can be given with regard to our PFIC status for our current or subsequent taxable years because our PFIC status is a factual determination made annually after the close of each taxable year that will depend, in part, on the composition of our income and assets. Because the value of our assets for purposes of the asset test may be determined by reference to the market price of our ADSs from time to time (which may be volatile), changes in the nature of our income or assets or the value of our ADSs may cause us to become a PFIC for the current or any subsequent taxable year. Recent declines in the market price of our ADSs increased our risk of being or becoming a PFIC. The market price of the ADSs and ordinary shares may continue to fluctuate considerably; consequently, we cannot assure you of our PFIC status for any taxable year. Under circumstances where revenues from activities that produce passive income significantly increase relative to our revenues from activities that produce non-passive income, or where we determine not to expend significant amounts of cash for working capital or other purposes, our risk of becoming classified as a PFIC may substantially increase.</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we were treated as a PFIC for any taxable year during which a U.S. Holder (as defined in “Item 10. Additional Information—E. Taxation—U.S. Federal Income Tax Considerations”) held our ADSs or ordinary shares, such U.S. Holder could be subject to adverse U.S. federal income tax consequences. For a more detailed discussion of U.S. federal income tax considerations to U.S. Holders if we are or become classified as a PFIC, see “Item 10. Additional Information—E. Taxation—U.S. Federal Income Tax Considerations.”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a variety of taxes and tax collection obligations in multiple jurisdictions. The implementation and interpretation of the relevant tax laws and regulations are constantly evolving, and the determination of our provision for income tax and other tax liabilities requires significant judgment. In the ordinary course of our business, there are many transactions and calculations where the ultimate tax determination is uncertain. Any changes in tax laws, or differing interpretations by local tax authorities, could result in retroactive assessments of additional taxes, surcharges, and fines. The imposition of any such back taxes and penalties could have a material adverse impact on our business operations and cash flows.</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Due to shifting economic and political conditions, tax policies and laws, tax rates in various jurisdictions may be subject to significant changes that could impair our financial results. In December 2021, the Organization for Economic Cooperation and Development (“OECD”) released model rules introducing a 15% global minimum tax rate for large multinational enterprises (“Pillar Two”). Large multinational enterprises within the scope of the rules are required to calculate their Pillar Two effective tax rate for each jurisdiction where they operate and are liable to pay a top-up tax for the difference between their Pillar Two effective tax rate per jurisdiction and the 15% minimum tax rate. Subsequently, multiple sets of administrative guidance have been issued. As of the date of this annual report, various tax jurisdictions have either enacted legislation to adopt certain components of the Pillar Two model rules beginning in 2024 or 2025 with the adoption of additional components in later years, or announced their plans to enact such legislation in future years. We have started and will continue to evaluate the impact of such legislative initiatives in the tax jurisdictions in which we operate. As the rules are still evolving, there might be changes and uncertainties regarding the interpretation of the rules and implementation details, and there is no guarantee that these changes will not affect our financial results.</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different characteristics of the capital markets in the U.S. and Hong Kong may negatively affect the trading prices of our ordinary shares and/or ADSs.</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Nasdaq and Hong Kong listing and regulatory requirements concurrently. Nasdaq and the Hong Kong Stock Exchange have different trading hours, trading characteristics (including trading volume and liquidity), trading and listing rules, and investor bases (including different levels of retail and institutional participation). As a result of these differences, the trading prices of our ordinary shares and our ADSs may not be the same, even allowing for currency differences. Fluctuations in the price of our ADSs due to circumstances peculiar to the U.S. capital markets could materially and adversely affect the price of our ordinary shares, or vice versa. Certain events having significant negative impact specifically on the U.S. capital markets may result in a decline in the trading price of our ordinary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our ordinary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between our ordinary shares and our ADSs may adversely affect each other’s liquidity and/or trading price.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ADSs are currently traded on Nasdaq. Subject to compliance with U.S. securities law and the terms of the deposit agreement, holders of our ordinary shares may deposit ordinary shares with the depositary in exchange for the issuance of our ADSs. Any holder of ADSs may also withdraw the underlying ordinary shares represented by the ADSs pursuant to the terms of the deposit agreement for trading on the Hong Kong Stock Exchange. In the event that a substantial number of ordinary shares are deposited with the depositary in exchange for ADSs or vice versa, the liquidity and trading price of our ordinary shares on the Hong Kong Stock Exchange and our ADSs on Nasdaq may be adversely affected.</w:t>
      </w:r>
    </w:p>
    <w:p>
      <w:pPr>
        <w:spacing w:after="0" w:line="2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as to whether Hong Kong stamp duty will apply to the trading of our ADSs or deposits of our ordinary shares in, or withdrawals of our ordinary shares from, the ADS facility following our initial public offering in Hong Kong and listing of our ordinary shares on the Hong Kong Stock Exchange.</w:t>
      </w:r>
    </w:p>
    <w:p>
      <w:pPr>
        <w:spacing w:after="0" w:line="6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listing of our ordinary shares on the Hong Kong Stock Exchange, we have established a branch register of members in Hong Kong, which we refer to as the Hong Kong Share Register. Our ordinary shares that are traded on the Hong Kong Stock Exchange and those that may be withdrawn from the ADSs facility will be registered on the Hong Kong Share Register, and the trading of these ordinary shares on the Hong Kong Stock Exchange will be subject to the Hong Kong stamp duty. To facilitate ADS-ordinary share interchanges and trading between Nasdaq and the Hong Kong Stock Exchange, we also moved a portion of our issued ordinary shares from our principal register of members maintained in the Cayman Islands to our Hong Kong Share Register.</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To the best of our knowledge, Hong Kong stamp duty has not been levied in practice on the trading of ADSs or deposits in or withdrawals of shares from the ADS facilities for companies that are listed in both the United States and Hong Kong and that have maintained all or a portion of their ordinary shares, including underlying ordinary shares represented by ADSs, in their Hong Kong share registers. However, it is unclear whether, as a matter of Hong Kong law, the trading of ADSs or deposits in or withdrawals of shares from the ADS facilities for these dual-listed companies constitutes a sale or purchase of the underlying Hong Kong-registered ordinary shares that is subject to Hong Kong stamp duty. We advise investors to consult their own tax advisors on this matter. If Hong Kong stamp duty is determined by the competent authority to apply to these transactions, the trading price and the value of your investment in our ordinary shares and/or ADSs may be affected.</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time required for the exchange between our ordinary shares and ADSs might be longer than expected and investors might not be able to settle or effect any sale of their securities during this period, and the exchange of ordinary shares into ADSs involves costs.</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There is no direct trading or settlement between Nasdaq and the Hong Kong Stock Exchange on which our ADSs and our ordinary shares are respectively traded. In addition, the time differences between Hong Kong and New York, unforeseen market circumstances or other factors may delay the deposit of ordinary shares in exchange of ADSs or the withdrawal of ordinary shares underlying the ADSs. Investors will be prevented from settling or effecting the sale of their securities during such periods of delay. In addition, there is no assurance that any exchange for ordinary shares into ADSs (and vice versa) will be completed in accordance with the timelines that investors may anticipate.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Furthermore, the depositary for the ADSs is entitled to charge holders fees for various services including for the issuance of ADSs upon deposit of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ordinary shares into ADSs, and vice versa, may not achieve the level of economic return the shareholders may anticipate.</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INFORMATION ON THE COMPANY</w:t>
      </w:r>
    </w:p>
    <w:p>
      <w:pPr>
        <w:spacing w:after="0" w:line="131"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History and Development of the Company</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commenced our business in June 1999. In March 2000, we established an exempted company with limited liability under the Companies Act in the Cayman Islands, Ctrip.com International, Ltd., as our new holding company. We started to consolidate Qunar in December 2015 and Skyscanner in December 2016. In October 2019, we changed our company name to “Trip.com Group Limited.” Since our inception, we have conducted the majority of our operations in China. We have also expanded our operations overseas since 2009.</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March 18, 2021, we effected a change to our authorized share capital by a one-to-eight subdivision of shares. Concurrently, we effected a proportionate change in our ADS to ordinary share ratio from eight ADSs representing one ordinary share to one ADS representing one ordinary share. Such changes have been reflected retrospectively throughout this document.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April 2021, our ordinary shares commenced trading on the Main Board of the Hong Kong Stock Exchange under the stock code “9961.”</w:t>
      </w:r>
    </w:p>
    <w:p>
      <w:pPr>
        <w:spacing w:after="0" w:line="221"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30 Raffles Place, #29-01, Singapore 048622, and our telephone number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65 3138-9736. Our principal website address is </w:t>
      </w:r>
      <w:r>
        <w:rPr>
          <w:rFonts w:ascii="Times New Roman" w:cs="Times New Roman" w:eastAsia="Times New Roman" w:hAnsi="Times New Roman"/>
          <w:sz w:val="18"/>
          <w:szCs w:val="18"/>
          <w:i w:val="1"/>
          <w:iCs w:val="1"/>
          <w:color w:val="auto"/>
        </w:rPr>
        <w:t>group.trip.com</w:t>
      </w:r>
      <w:r>
        <w:rPr>
          <w:rFonts w:ascii="Times New Roman" w:cs="Times New Roman" w:eastAsia="Times New Roman" w:hAnsi="Times New Roman"/>
          <w:sz w:val="18"/>
          <w:szCs w:val="18"/>
          <w:color w:val="auto"/>
        </w:rPr>
        <w:t xml:space="preserve">. The information on our websites should not be deemed to be part of this annual report. All information we file with the SEC can be obtained over the internet at the SEC’s website at </w:t>
      </w:r>
      <w:r>
        <w:rPr>
          <w:rFonts w:ascii="Times New Roman" w:cs="Times New Roman" w:eastAsia="Times New Roman" w:hAnsi="Times New Roman"/>
          <w:sz w:val="18"/>
          <w:szCs w:val="18"/>
          <w:i w:val="1"/>
          <w:iCs w:val="1"/>
          <w:color w:val="auto"/>
        </w:rPr>
        <w:t>www.sec.gov.</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Overview</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a leading global one-stop travel service provider, integrating a comprehensive suite of travel products and services and differentiated travel content. Leveraging our one-stop-shop model, high-quality service, and advanced technology, we are consistently expanding our global reach. We are the go-to destination for travelers in Asia, and increasingly for travelers around the world, to explore travel, get inspired, make informed and cost-effective travel bookings, enjoy hassle-free on-the-go support, and share travel experience. Founded in 1999 and listed on Nasdaq in 2003 and the Hong Kong Stock Exchange in 2021, we currently operate under a portfolio of brands, including (i) Ctrip, a leading provider of travel and related services in China, (ii) Qunar, a leading online travel agency in China, (iii) Trip.com, an online travel agency for global travelers, and (iv) Skyscanner, a leading global travel search company, with the mission “to pursue the perfect trip for a better world.”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one-stop travel platform connects our users and our ecosystem partners. Leveraging our AI capabilities and travel insights accumulated over the past years, we have evolved from an emerging online travel transaction platform to a one-stop travel platform integrating a comprehensive suite of travel products and services and differentiated travel content and connecting users and ecosystem partners from around the world. Our platform aggregates our product and service offerings, reviews and other content shared by our users based on their real travel experiences, and original content from our ecosystem partners to enable leisure and business travelers to have easy access to enjoyable travel experiences and make informed and cost-effective bookings.</w:t>
      </w:r>
    </w:p>
    <w:p>
      <w:pPr>
        <w:spacing w:after="0" w:line="187"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As a result of our leading position in travel markets and our vast user base, our platform has attracted ecosystem partners across multiple sectors, including accommodation reservation, transportation ticketing, packaged tours, and in-destination activities. We provide our ecosystem partners with a variety of technology-enabled solutions and help them establish an online presence, access our massive and global user base, and engage with users in real time. In addition, we have rolled out content sharing features on our platform, which allow users to discover, explore, and share travel-related content featuring destination reviews and travel experiences and tips, thereby further enriching the ecosystem surrounding our platform.</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Omni-Channel Touchpoints for Users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are committed to providing each user with a personalized, convenient, enjoyable, and inspirational travel experience. This philosophy has enabled us to become the go-to destination for travelers in Asia and to steadily increase our influence in target markets around the world. In particular, the Asia-Pacific region is among the fastest-growing regions for travel consumption globally, driven by a rapid shift from offline to online and mobile services. Our omni-channel approach is a natural fit for this paradigm shift and has enabled us to accomplish strong growth momentum in the Asia-Pacific region and elsewhere.</w:t>
      </w:r>
    </w:p>
    <w:p>
      <w:pPr>
        <w:spacing w:after="0" w:line="181"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Online Channels. </w:t>
      </w:r>
      <w:r>
        <w:rPr>
          <w:rFonts w:ascii="Times New Roman" w:cs="Times New Roman" w:eastAsia="Times New Roman" w:hAnsi="Times New Roman"/>
          <w:sz w:val="18"/>
          <w:szCs w:val="18"/>
          <w:color w:val="auto"/>
        </w:rPr>
        <w:t>Our online channels consist of our mobile applications, other mobile access channels, and websites. Our online reservation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fulfillment infrastructure enables our users to explore, search, reserve, and purchase travel products and other value-added services through our online channels. For the year ended December 31, 2025, over 90% of our total transaction orders were executed through our mobile channels. We maintain our main PRC site of Ctrip through our subsidiaries and Ctrip Commerce (VIE). Qunar also maintains its main PRC site of Qunar through its subsidiaries and Qunar Beijing (VIE). As of December 31, 2025, our products and services through Trip.com were available in 27 languages, 44 local currencies and 48 local sites, and our products and services through Skyscanner were available in 43 languages and over 50 countries and regions globally.</w:t>
      </w:r>
    </w:p>
    <w:p>
      <w:pPr>
        <w:spacing w:after="0" w:line="18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offer personalized home pages based on user profiles or past transactions and display travel products and services based on geolocation that are available to us in compliance with the applicable laws and other travel insights. While placing an order, users are prompted with options to customize their trips with packaged deals or additional value-added services for their convenience, such as travel insurance, car rental, or hotel deals. All products and services are shown with full price transparency. Our itinerary management tools enable users to review and manage their orders and itineraries. We encourage users to submit ratings, reviews, and recommendations to our platforms during their trips and after they return from their trips. Leveraging our content sharing feature, users are inspired by new travel ideas, make informed travel decisions, and share their travel experiences in an engaging community.</w:t>
      </w:r>
    </w:p>
    <w:p>
      <w:pPr>
        <w:spacing w:after="0" w:line="187" w:lineRule="exact"/>
        <w:rPr>
          <w:sz w:val="20"/>
          <w:szCs w:val="20"/>
          <w:color w:val="auto"/>
        </w:rPr>
      </w:pPr>
    </w:p>
    <w:p>
      <w:pPr>
        <w:jc w:val="both"/>
        <w:ind w:left="120" w:right="2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Offline Channels. </w:t>
      </w:r>
      <w:r>
        <w:rPr>
          <w:rFonts w:ascii="Times New Roman" w:cs="Times New Roman" w:eastAsia="Times New Roman" w:hAnsi="Times New Roman"/>
          <w:sz w:val="17"/>
          <w:szCs w:val="17"/>
          <w:color w:val="auto"/>
        </w:rPr>
        <w:t>In addition to our 26 customer service centers located around the world, we have offline stores with our business partners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 our users who prefer an in-person experience. In our offline stores, we provide users with one-stop services, such as travel consultation services and other local support and assistance. As of December 31, 2025, we had around 6,000 offline stores across approximately 300 cities in China.</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User-Centric Approach. </w:t>
      </w:r>
      <w:r>
        <w:rPr>
          <w:rFonts w:ascii="Times New Roman" w:cs="Times New Roman" w:eastAsia="Times New Roman" w:hAnsi="Times New Roman"/>
          <w:sz w:val="18"/>
          <w:szCs w:val="18"/>
          <w:color w:val="auto"/>
        </w:rPr>
        <w:t>Our users are at the center of our business’s philosophy and operations. Since our inception, we have constantly focused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building trust with our users and creating a more personalized, convenient, enjoyable, and inspirational travel experience. We provide a broad spectrum of travel products and services that accompany our users throughout their entire journey, from idea inspiration, trip research and planning, to informed decision-making, travel booking, in-destination activities, on-the-journey support, and post-travel sharing of travel experiences. We consistently refine our product interfaces to enable an increasingly frictionless booking experience for our users with full transparency in pricing, terms, and value-added services. We extend good care for our users by providing 24/7 user support all along their trips.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Open Platform for Ecosystem Partners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adopted an open platform business model to attract and facilitate customized travel offerings by ecosystem partners covering various sectors in the travel vertical. Our open platform strategy allows ecosystem partners to join our open platform and directly post their own product and service offerings on our platform alongside products and services that are negotiated with business partners and offered by us.</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ecosystem partner base includes hotels and other accommodation providers, airlines and other air ticket partners, train ticket partners, car rental companies, bus operators, ferry carriers, other travel agencies from whom we source travel products and services, and value-added service partners. We also opened up our platform to international partners, search engines, e-commerce platforms, and other channels to expand their business opportunities and increase the offerings available to our users. As of December 31, 2025, our open platform provided approximately 1.7 million global accommodation listings, offered flights from over 680 airlines, and had a network of over 60,000 other ecosystem partners. With our global user base, we are well-positioned to forge partnerships with various participants in the global travel ecosystem and expand our global presence.</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carry out an ecosystem partner selection process to ensure the quality of product and service offerings to our users. When determining whether to accept a prospective ecosystem partner to our open platform, we take into account various factors, including reputation, industry expertise and know-how, price competitiveness, and track record of delivering high-quality products and services. We also have streamlined the contracting process for ecosystem partners by using an e-contract system onto our open platform. We set high service standards and manage product and service quality of our ecosystem partners through screening and ratings. We monitor our ecosystem partners’ performance based on user feedback. Ecosystem partners with good performance will be rewarded, while those with negative reviews will be flagged for improvement.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offer accommodation reservation, transportation ticketing, packaged tours, and corporate travel management services, as well as other travel-related services to meet the various booking and traveling needs of both leisure and business travelers through our travel platform. We began offering accommodation reservation and transportation ticketing services in October 1999. Since then, we have been driving the transformation of travel experience and the adoption of online- and mobile- based travel booking solutions for leisure and business travelers. We capture evolving user preferences and provide travel content as well as travel products and services to make travel effortlessly enjoyable. In addition, we offer various other products and services, including packaged-tour and in-destination activity products and services, corporate travel management services, and other travel-related services, such as car services, travel-related financing and insurance, and visa services to meet the various booking and traveling needs of both leisure and business travelers. Our users also have access to both user-generated and professionally-generated content through personalized content feeds and our search tools.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Accommodation Reservation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Users can search, compare, and book accommodations on our platforms based on their destination and detailed stay preferences, and may further filter and sort search results by price range, star category, location, brand, and amenities. We also augment our accommodation reservation offerings with traveler ratings, reviews, recommendations, and tour guides.</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act as an agent in substantially all of our hotel-related transactions. We generate substantially all of our accommodation reservation revenue through commissions from our hotel reservation partners through our platform. We recognize revenues when the reservation becomes non-cancelable, which is the point considered when we complete our performance obligation in accommodation reservation services.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contract with hotel partners for rooms under two agency models, the “guaranteed allotment” model and the “on-request” model. Under the “guaranteed allotment” model, a hotel guarantees us a specified number of available rooms every day, allowing us to provide instant confirmations on such rooms to our users before notifying the hotel.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Transportation Ticketing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Users can search and book transportation tickets via our online platform and customer service centers. Our search functions allow users to narrow search results by specifying preferences, such as time and mode of transportation, and we leverage our data analytics capability to help them book tickets that best suit their travel needs. As of December 31, 2025, our transportation ticketing network covered over 220 countries and regions.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Air Tickets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sell air tickets as an agent for substantially all PRC airlines and major international airlines operating flights. As of December 31, 2025, we offered flights from over 680 global airlines, covering over 3,500 airports in over 220 countries and regions. Our air ticket booking engines source real-time availability and pricing information from “direct connects” to airlines’ booking systems and the global distribution system, a computerized network system that has real-time link to our ecosystem partners’ inventory.</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to selling air tickets, we also offer various options and services to help users travel with ease. Powered by our route planning algorithms and travel supply, users can customize their trips by combining two or more of our core travel products, such as air tickets and hotels, which are typically offered at a package price. We also provide travel insurance products, such as flight delay insurance, air accident insurance, and baggage loss coverage, and various ancillary value-added services built around users’ air travel needs, such as air-ticket delivery, online check-in and seat selection, express security screening, real-time flight status tracker, and airport VIP lounge services.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Tickets</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Other tickets covered by our transportation ticketing service include train, long-distance bus, and ferry tickets. In connection with such ticketing services, we also offer various other ancillary travel products and services that are designed to streamline the ticketing process.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Packaged Tours and In-Destination Activities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offer independent leisure travelers bundled packaged-tour products as well as in-destination activity products and services, catering to our users’ evolving demands.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Packaged Tours</w:t>
      </w:r>
    </w:p>
    <w:p>
      <w:pPr>
        <w:spacing w:after="0" w:line="11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offer our users a wide range of bundled packaged-tour products on our platform provided by our ecosystem partners, including group tours, semi-group tours, customized tours, and packaged tours with different transportation arrangements, such as by air, cruise, bus, and car rental, covering domestic and international destinations. For example, we focus on securing diverse boutique travel products domestically, such as combinations of themed hotels and dining. We provide integrated transportation and accommodation services and offer a variety of value-added services including transportation at destinations, attraction tickets, local activities, insurance, visa services, and tour guides. We also provide high-quality user support, supplier management, and customer relationship management services to packaged-tour providers.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In-destination Activities</w:t>
      </w:r>
    </w:p>
    <w:p>
      <w:pPr>
        <w:spacing w:after="0" w:line="11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Destinations are often defined by the activities available upon arrival. Over the years, users have been seeking more novel experiences and are eager to do more memorable activities in the destinations. Driven by the rise of experiential travel, we offer a variety of in-destination products and services, such as in-destination dining and shopping, day tours of popular tourist destinations, attraction and show tickets, customized tour guide services, and virtual tour assistants. Users not only have plenty of options for what and when to book in-destination activities, but also can book at the last minute in a quick and straightforward manner on our platform. As of December 31, 2025, we offered over 350,000 in-destination activities around the world. As the needs of the market further evolve, we are enriching our offerings of in-destination products and services to further expand our business.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82"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Travel Management</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Trip.Biz is our digital-first, full-service corporate travel management business, providing technology-enabled solutions for organizations managing business travel at scale. We support corporate clients across more than 30 markets through a global operating model that combines advanced technology, multi-source global content, and industry-leading service, enabling consistent travel program management for regional and multinational organizations.</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Through an integrated travel management platform, we deliver end-to-end services covering booking, policy compliance, approvals, traveler support, payments, and reporting, helping clients improve cost control, enhance operational efficiency, and meet duty of care and sustainability objectives, while delivering consistent business travel experiences.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Travel-Related Services</w:t>
      </w:r>
    </w:p>
    <w:p>
      <w:pPr>
        <w:spacing w:after="0" w:line="121"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Our other travel-related services primarily include online advertising and financial services. We provide marketing planning and travel media services to our ecosystem partners, as well as a wide range of advertising services to pan-industry brand partners. Based on our travel product and service offerings, user base, and industry value chain, we also have obtained necessary licenses to facilitate users and ecosystem partners on our platform with our financial services, which mainly cover consumer financing, and a range of digital solutions for our users and ecosystem partners.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Content Offerings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consolidate and aggregate travel-related content for our users to help them get inspired by new travel ideas, make informed travel decisions, and share their travel experiences. Our users have free access, through personalized content feeds and our search tools, to both user-generated content shared by travelers based on their real travel experiences and professionally-generated content including our official selections and content produced by professional travel bloggers, KOLs, and our ecosystem partners.</w:t>
      </w:r>
    </w:p>
    <w:p>
      <w:pPr>
        <w:spacing w:after="0" w:line="17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Reviews. </w:t>
      </w:r>
      <w:r>
        <w:rPr>
          <w:rFonts w:ascii="Times New Roman" w:cs="Times New Roman" w:eastAsia="Times New Roman" w:hAnsi="Times New Roman"/>
          <w:sz w:val="18"/>
          <w:szCs w:val="18"/>
          <w:color w:val="auto"/>
        </w:rPr>
        <w:t>We provide our users with detailed, authentic, and transparent information on our product and service offerings based on our users’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in-depth reviews and detailed ratings. We have been refining our user review framework to improve authenticity, objectivity, and relevance of our review and rating system, creating a feedback loop for us to refine our products and services, enhance users’ search experience, and enable them to rely on us for making well-informed travel decisions.</w:t>
      </w:r>
    </w:p>
    <w:p>
      <w:pPr>
        <w:spacing w:after="0" w:line="180"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Community. </w:t>
      </w:r>
      <w:r>
        <w:rPr>
          <w:rFonts w:ascii="Times New Roman" w:cs="Times New Roman" w:eastAsia="Times New Roman" w:hAnsi="Times New Roman"/>
          <w:sz w:val="18"/>
          <w:szCs w:val="18"/>
          <w:color w:val="auto"/>
        </w:rPr>
        <w:t>Our community integrates the online travel content sharing features on our platform with our product and service offerings, so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users can discover, explore, and share travel-related content such as destination travel experiences and tips. In addition, leveraging our AI technology and travel insights, we are able to push tailored recommendations to our users while they are browsing through our community.</w:t>
      </w:r>
    </w:p>
    <w:p>
      <w:pPr>
        <w:spacing w:after="0" w:line="173"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Selections and Recommendations. </w:t>
      </w:r>
      <w:r>
        <w:rPr>
          <w:rFonts w:ascii="Times New Roman" w:cs="Times New Roman" w:eastAsia="Times New Roman" w:hAnsi="Times New Roman"/>
          <w:sz w:val="18"/>
          <w:szCs w:val="18"/>
          <w:color w:val="auto"/>
        </w:rPr>
        <w:t>We provide our users with various lists of selected and recommended product and service offerings,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popular destinations, themed activities, restaurant guides, and special deals. Our selections and recommendations help inspire our users’ next great getaway, from long weekend escapes to must-see destinations and to bucket-list adventures from around the globe.</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Live Streaming. </w:t>
      </w:r>
      <w:r>
        <w:rPr>
          <w:rFonts w:ascii="Times New Roman" w:cs="Times New Roman" w:eastAsia="Times New Roman" w:hAnsi="Times New Roman"/>
          <w:sz w:val="18"/>
          <w:szCs w:val="18"/>
          <w:color w:val="auto"/>
        </w:rPr>
        <w:t>We have a dedicated live streaming platform with integrated resources and content. In addition to our official live streaming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 our live streaming platform also hosts professionally-generated content contributed by professional travel bloggers, KOLs, and our ecosystem partners. We have collaborated with leading international hotel brands to offer our users discounts on luxury hotels through live streaming. Our live streaming has also showcased destinations around the world with featured international travel products, attracting millions of views by our users. We have diversified our live streaming distribution channels by collaborating with leading live streaming platforms.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40"/>
          </w:cols>
          <w:pgMar w:left="320" w:top="482" w:right="5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User Support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provide user support online and offline through multiple channels such as calls, instant messaging, email, and social networks, in multiple media formats such as voice, text, image, and video, 24 hours a day, seven days a week. We are committed to maintaining high service standards worldwide. As of December 31, 2025, we had nine customer service centers located around the world. We also provide comprehensive aftersales services including aftersales support, pre-travel warnings, major incident compensation, a special situation refund policy, and emergency support, among others.</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China, we have been a standard setter for user support in the travel industry. In 2016, we launched the first travel safety center in the region. The service center established seven mechanisms to provide travelers with more protection, including the application of the global supplier travel safety standards, travel warning centers, a global travel destination emergency assistance mechanism, major disaster protection funds, a special reason cancelation policy, global travel insurance and rescue services, and a tour guide responsibility mechanism. We provide our users with travel insurance service including insurance consultation and claim settlements, from delayed and cancelled trips to accidental injury treatment, through one of the subsidiaries with an insurance license. In 2017, we launched the first global travel SOS service in the region. Users who book a trip from our platforms have access to 24/7 emergency support. The SOS service currently covers three major categories: (i) support in emergencies such as natural disasters and terrorist attacks, (ii) support in case of injury or illness during the journey, including assistance in medical treatment, delivery of medicines, and translation services, and (iii) assistance provided when valuables are lost during the journey, including assistance in the recovery of lost property and eventually bringing the property back to the home country.</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we consistently expand our global reach, Trip.com has also been recognized for exceptional quality of service. At the 2024 International Customer Relations Excellence Awards presented by the Asia Pacific Customer Service Consortium, Trip.com was recognized as both Contact Center of the Year and Global Support Services of the Year. Trip.com has also been awarded as Asia’s leading online travel agency in 2024 at the World Travel Awards. These recognitions underscore our commitment to putting customers first, offering 24/7 global support and service to international travelers at every stage of their journey.</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During 2025, we were named Best Online Travel Agent in Asia at the Travel Weekly Asia Readers’ Choice Awards, and received the Brand of the Year Award in South Korea. These awards reflect our ongoing commitment to service quality, localized execution, and customer-centric innovation.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Since our inception, we have been able to support the growth in our online and offline traffic and transactions with our technology and infrastructure. Our IT infrastructure is able to support nearly every aspect of our business, including our travel platform, mobile and website operations, and customer service centers.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Technology-Empowered Platform</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Our technology platform is empowered by AI and other proprietary technologies. Our platform processes a massive amount of travel-related data. We leverage various technologies such as natural language processing, speech recognition, computer vision, and conversational AI to inform various applications such as traffic forecasting, civil aviation big data analysis, flight delay prediction, a tourism knowledge graph, and especially, improved customer services to our global user base, among others. The application of the technologies benefits not only our users, but also our ecosystem partners.</w:t>
      </w:r>
    </w:p>
    <w:p>
      <w:pPr>
        <w:spacing w:after="0" w:line="164"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For our users, our technologies enable curated suggestions, a streamlined user experience, enhanced user engagement, and the sharing and viewing of user-generated content. We use both public and private cloud technologies to optimize operational efficiency. Some of the core technologies underlying our user support include (i) CtripIM, an instant messenger system developed in-house, which offers a streamlined problem-solving process,</w:t>
      </w:r>
    </w:p>
    <w:p>
      <w:pPr>
        <w:spacing w:after="0" w:line="2" w:lineRule="exact"/>
        <w:rPr>
          <w:sz w:val="20"/>
          <w:szCs w:val="20"/>
          <w:color w:val="auto"/>
        </w:rPr>
      </w:pPr>
    </w:p>
    <w:p>
      <w:pPr>
        <w:ind w:left="120" w:right="20" w:hanging="4"/>
        <w:spacing w:after="0" w:line="252" w:lineRule="auto"/>
        <w:tabs>
          <w:tab w:leader="none" w:pos="3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Softswitch, which enables us to securely encrypt users’ displayed phone numbers to prevent leakage of sensitive user information, (iii) SoftPBX, a telephone system software that distributes calls through the intranet to different operators after the user’s phone call is connected. These technologies enable us to handle user requests more efficiently, support our users in times of traffic spikes, enhance system stability, and ensure consistent availability to our users, (iv) WenDao/TripGenie, a big-data-driven, intelligent travel assistant that provides users with questions and answers related to itinerary planning, information gathering, and others, (v) Trip.Planner, a revolutionary one-stop travel planning hub, powered by AI to transform complex itineraries into effortless, personalized journeys, and (vi) TripBest, a ranking system for products in travelling destinations, which comprehensively evaluates factors such as user reviews, sales and popularity to provide users with the best product recommendations.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For the ecosystem partners, our technologies enable marketing and optimize operating efficiency based on traveler preference and accurate demand predictions. We offer a variety of solutions to our ecosystem partners, such as (i) an e-booking system for accommodation partners, which provides standardized information input to accommodation partners to digitalize their offerings, and (ii) a pricing error monitoring system for airfare, which detects flight tickets with abnormally low fares (bug fares) using anomaly detection models based on massive historical and real-time airfare data.</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Proprietary Search and Transaction Engines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apply proprietary technologies in flight ticket search and accommodation search and transactions, which help us attract and retain users and improve their experiences on our platform. These technologies are able to process data that covers the global product offerings available on our platform, use optimized algorithms to reduce computational cost, shorten search latency and processing time, and generate relevant results swiftly to ensure good user experience.</w:t>
      </w:r>
    </w:p>
    <w:p>
      <w:pPr>
        <w:spacing w:after="0" w:line="180"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Our technologies for flight ticket searches include a search engine and ticket recommendation system. These technologies can support hundreds of millions of queries per day. The technology currently covers departure or arrival cities worldwide and accommodates various languages. We have also built intelligent tools and machine learning technologies for ecosystem partners to strengthen their competitive positions. We provide deep integration of travel information technology systems with online transaction platforms, which further decreases airlines’ operating cost and maximizes revenue.</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technologies for accommodation searches include a hotel matching system and model algorithms. These technologies can support billions of queries per day, with an industry-leading average response time. They can also rapidly process tens of billions of data points needed to calculate numerous room types, room status data, and room price data incrementally updated every day. The technology connects hotel sales sites in countries and regions around the world and supports multiple currencies and all major international credit card payments. As a result of the technology applied in accommodation search, we are able to attract and retain users and improve their overall experiences.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 and Brand Awareness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Through a combination of online and offline marketing, brand promotion, cross-marketing, and rewards program, we have created strong brands associated with travel products and services and user support. In addition, we leverage word-of-mouth referrals among users to promote our brands. We will continue to use our focused marketing strategy to further enhance awareness of our brands and acquire new target users. We are currently focused on the Asia-Pacific region in terms of marketing, as it is projected to witness the fastest growth in the coming years within the global travel industry. We are also expanding and growing rapidly in new markets, which helps to diversify our market portfolio and strengthen our global presence.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Brand Advertising</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currently operate through four leading travel brands, namely (i) Ctrip, a leading provider of travel and related services in China; (ii) Qunar, a leading online travel agency in China; (iii) Trip.com, an online travel agency for global travelers; and (iv) Skyscanner, a leading global travel search company.</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conduct our brand campaigns through advertising on video streaming platforms, targeted liquid-crystal displays in public spaces, and billboards at airports, railway stations, and bus stations. We also work with celebrities in our marketing campaigns and embed our brand and travel products into live TV shows, movies, and other entertainment marketing channels. We also opened around 6,000 offline stores as of December 31, 2025 to supplement our online marketing to acquire more consumers who prefer an in-person experience. With these diverse channels, we believe that we have effective strategies to enhance brand awareness and user engagement and attract a new generation of users, and we have a unique advantage in our ability to develop truly multi-channel marketing solutions for global destinations.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82"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Advertising</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have contracted with the majority of the leading online marketing channels, such as search engines, browsers, and navigation websites, to prominently feature our websites and have cooperated with online companies to promote our services, as well as conducting public relations activities. We have purchased related keywords or directory links to direct potential users to our websites.</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also worked with major internet portals and leading mobile applications in their respective sectors to advertise locally and also have worked with top smart phone manufacturers to increase the number of our app downloads and promote more activations and transactions. In addition, we will be actively testing all kinds of innovative and rapidly growing mobile channels that may appeal to consumers.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Cross-Marketing</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cross-marketing arrangements with major PRC domestic airlines, hotel chains, financial institutions, telecommunications service providers, e-commerce and internet companies, and other corporations. For example, our airline partners and financial institution partners recommend our products and services to members of their mileage programs or bank card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Rewards Program</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To secure our users’ loyalty and further promote our brand, we provide our users with a rewards program. This program allows our users to accumulate membership points calculated according to the services purchased by the users. Our users may redeem these points for discounted future bookings or gifts.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travel service industry is characterized by seasonal fluctuations, and accordingly our revenues may vary from quarter to quarter. For example, in China, to date, the third quarter of each year generally contributes the highest portion of our annual net revenues primarily due to the strong demand for both leisure and business travel activities during the summer. These seasonality trends are difficult to discern in our historical results because our revenues have grown substantially since inception. However, our future results may be affected by seasonal fluctuations in the use of our services by our users. See “Item 5. Operating and Financial Review and Prospects—A. Operating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User Privacy and Data Security</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Data security is crucial to our business operations. We have internal rules and policies to govern how we may use and share personal information, as well as protocols, technologies and systems in place to ensure that such information will not be accessed or disclosed improperly. We establish privacy policies to protect privacy of individuals and comply with laws and regulations enacted to protect personal information while conducting business activities.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From an internal policy perspective, we limit access to our servers that store our user and internal data on a “need-to-know” basis. Our internal control protocols cover the full lifecycle of data processing including collection, transmission, storage, analytics, destruction, and disposition. We collect personal information with adherence to the principle of minimum necessity and obtain informed authorization from the users. We adopt a data encryption system to ensure data storage and transmission security. We establish an authorization mechanism to prevent any unauthorized member of the public or third parties from accessing or using our data in any unauthorized manner and timely remove unnecessary data privileges of the personnel who no longer need access to our data. We establish supplier data security programs to evaluate and promote the data protection capabilities of suppliers who process our data. We also deploy a variety of detection mechanisms, including machine learning technology and other automated tools that help us independently identify certain misleading information on our platform to remove, suppress, or forward the content for human review. As we continue to develop these tools, content is reviewed by our trained specialists to comply with applicable laws and regulations. Furthermore, we implement comprehensive data masking of user data for the purpose of fending off potential hacking or security attacks.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engage legal counsel to advise on our data protection policies and ongoing compliance with applicable laws and regulations. As part of our internal procedure, we engage overseas legal counsel to advise on the applicable licensing and compliance requirements before entering into new markets.</w:t>
      </w:r>
    </w:p>
    <w:p>
      <w:pPr>
        <w:spacing w:after="0" w:line="176"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For information about laws and regulations relating to user privacy and data security, see “Item 4. Information on the Company—B. Business Overview—Government Regulations—PRC Regulations—Regulations Relating to Internet Information Security and Privacy Protection.”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intellectual property rights primarily include trademarks and domain names associated with the names of our travel brands and copyright and other rights associated with our websites, technology platform, booking software, and other aspects of our business. We regard our intellectual property as a critical factor contributing to our success, although we are not dependent on any patents, intellectual property related contracts or licenses other than some commercial software licenses available to the general public. We rely on trademark and copyright law, trade secret protection, and confidentiality agreements with our employees to protect our intellectual property rights. We require our employees to enter into agreements to keep confidential all information relating to our users, methods, business, and trade secrets during and after their employment with us. Our employees are required to acknowledge and recognize that all inventions, trade secrets, works of authorship, developments, and other processes made by them during their employment are our property.</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we had over 1,100 patents registered with the PRC Intellectual Property Administration, including over 880 invention patents, and we had over 700 pending patent applications in China.</w:t>
      </w:r>
    </w:p>
    <w:p>
      <w:pPr>
        <w:spacing w:after="0" w:line="162" w:lineRule="exact"/>
        <w:rPr>
          <w:sz w:val="20"/>
          <w:szCs w:val="20"/>
          <w:color w:val="auto"/>
        </w:rPr>
      </w:pPr>
    </w:p>
    <w:p>
      <w:pPr>
        <w:ind w:left="120" w:right="220" w:firstLine="440"/>
        <w:spacing w:after="0" w:line="227" w:lineRule="exact"/>
        <w:rPr>
          <w:sz w:val="20"/>
          <w:szCs w:val="20"/>
          <w:color w:val="auto"/>
        </w:rPr>
      </w:pPr>
      <w:r>
        <w:rPr>
          <w:rFonts w:ascii="Times New Roman" w:cs="Times New Roman" w:eastAsia="Times New Roman" w:hAnsi="Times New Roman"/>
          <w:sz w:val="18"/>
          <w:szCs w:val="18"/>
          <w:color w:val="auto"/>
        </w:rPr>
        <w:t>As of December 31, 2025, we owned over 1,850 registered trademarks and approximately 300 pending trademark applications, in various categories with the Trademark Office of the PRC Intellectual Property Administration. In addition, we had over 200 registered trademarks in various jurisdictions outside of China. We have registered our major trademarks “Ctrip” and “</w:t>
      </w:r>
      <w:r>
        <w:rPr>
          <w:rFonts w:ascii="SimSun" w:cs="SimSun" w:eastAsia="SimSun" w:hAnsi="SimSun"/>
          <w:sz w:val="18"/>
          <w:szCs w:val="18"/>
          <w:color w:val="auto"/>
        </w:rPr>
        <w:t>携程</w:t>
      </w:r>
      <w:r>
        <w:rPr>
          <w:rFonts w:ascii="Times New Roman" w:cs="Times New Roman" w:eastAsia="Times New Roman" w:hAnsi="Times New Roman"/>
          <w:sz w:val="18"/>
          <w:szCs w:val="18"/>
          <w:color w:val="auto"/>
        </w:rPr>
        <w:t>” (simplified Chinese characters for Ctrip), “</w:t>
      </w:r>
      <w:r>
        <w:rPr>
          <w:rFonts w:ascii="SimSun" w:cs="SimSun" w:eastAsia="SimSun" w:hAnsi="SimSun"/>
          <w:sz w:val="18"/>
          <w:szCs w:val="18"/>
          <w:color w:val="auto"/>
        </w:rPr>
        <w:t>携程</w:t>
      </w:r>
      <w:r>
        <w:rPr>
          <w:rFonts w:ascii="Times New Roman" w:cs="Times New Roman" w:eastAsia="Times New Roman" w:hAnsi="Times New Roman"/>
          <w:sz w:val="18"/>
          <w:szCs w:val="18"/>
          <w:color w:val="auto"/>
        </w:rPr>
        <w:t xml:space="preserve"> Ctrip” (a combination of the Chinese and English characters for Ctrip), “Trip.com,” and “Trip.com Group” in various countries and regions.</w:t>
      </w:r>
    </w:p>
    <w:p>
      <w:pPr>
        <w:spacing w:after="0" w:line="20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we held over 1,650 computer software copyrights and over 200 other copyrights registered with the PRC Copyright Administration.</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we had over 330 domain names primarily used in connection with our operations in the Chinese mainland including ctrip.com, and approximately 50 domain names used in connection with our operations outside the Chinese mainland, including trip.com, and we have full legal rights over these domain names. As of the date of this annual report, all of our registered domain names were in effect.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global travel industry is highly competitive. In many markets where we operate, we compete with other travel agencies, including local and foreign consolidators of hotel accommodation and airline tickets as well as traditional travel agencies. As the global travel market continues to evolve, we may be faced with increased competition from new travel agencies operating locally or internationally. As our operation becomes increasingly globalized, we also expect to face increasing competition with local service providers who may be more familiar with local conditions in the various jurisdictions where we operate. We may also face increasing competition from hotels and airlines as they increase their direct selling efforts or engage in alliances with other travel service providers, as well as content platforms and social networks entering into the travel industry.</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compete based on a number of factors, including, among other things, brand recognition, depth and breadth of travel offerings, price competitiveness, and user support and satisfaction. We believe that we are well-positioned to effectively compete on the basis of the factors listed above. However, some of our current or future competitors may have longer operating histories, greater brand recognition, larger user and supplier bases, or stronger financial, technical or marketing resources than we do. See “Item 3. Key Information—D. Risk Factors—Risks Relating to Our Business and Industry—If we do not compete successfully against new and existing competitors, we may lose our market share, and our business may be materially and adversely affected.”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Customers and Suppliers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 broad base of customers, which primarily consists of our ecosystem partners, including airlines and other air ticket partners, hotel and alternative accommodation partners, and various value-added travel products and services partners, such as insurance companies. We have cultivated and maintained good relationships with our ecosystem partners since our inception. We have a team of employees dedicated to enhancing our relationship with existing ecosystem partners and developing relationships with prospective ecosystem partners. Our customers also include but are not limited to (i) users who purchase travel products that we source from ecosystem partners, (ii) users who purchase ancillary value-added travel products and services, and (iii) advertisers who post advertisements of their products and services on our online platforms.</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suppliers primarily consist of online and mobile payment services, data storage, server hosting, and bandwidth providers, user acquisition channels, and advertising and marketing service providers.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Strategic Investments and Acquisitions</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To further strengthen our competitive position in global markets, we constantly evaluate opportunities for strategic investments in, and acquisitions of, complementary businesses, assets and technologies and have made such investments and acquisitions from time to time.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June 2025, we entered into a share repurchase agreement, as amended and restated, with MakeMyTrip Limited (“MakeMyTrip”), an investee of our company, to sell 34,372,221 Class B ordinary shares that we held to MakeMyTrip for an aggregate consideration of approximately US$3.0 billion for cancellation. This was part of our efforts to optimize our investment portfolio and enhance shareholder returns. The transaction was closed in July 2025 and we recorded a gain from investment of RMB15.2 billion in other (expense)/income accordingly. Immediately following the repurchase, we remained the largest minority shareholder of MakeMyTrip.</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than the above, we have not made any material acquisitions, strategic investments, or disposals in the past three years.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 Work Safety, and Sustainability Matters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dedicated to engaging our users and ecosystem partners as a responsible corporate citizen. We are committed to promoting sustainable tourism and introducing carbon mitigation measures and will continue to explore ways to further improve energy efficiency. For example, we launched certain initiative through which we encourage hotel partners to adopt sustainable practices such as utilizing green and clean energy sources, refraining from providing disposable items voluntarily, and implementing water-saving appliances. Our initiative also incentivizes users to commit to water and energy conservation, carbon emission and waste reduction, and community support with extra rewards. In addition, we launched the “Low Carbon Hotel Standard” to work with hotel partners to jointly implement low carbon emissions and promote sustainability. The low-carbon hotel evaluation standards are based on quantifiable, verifiable, and improvable principles, and are mainly based on the relative level of the unit carbon emissions among hotels of the same type. Furthermore, Trip.com and Skyscanner became founding members of a sustainable tourism campaign, “Travalyst,” which is developing sustainability frameworks to guide sustainability practices across the travel industry. Skyscanner is developing an aviation sustainability framework that creates greater transparency on carbon emissions for individual flights and highlights the sustainability practices of different airlines.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year of 2025 marks the fifth year of our rural tourism revitalization strategy. As a flagship initiative under our “Community Friendly” pillar, our Country Retreats leverage high-quality, locally rooted accommodation to promote the coordinated development of rural economies, culture and ecosystems. As of 31 December 2025, 28 Country Retreat properties were in operation across 13 provinces, municipalities and autonomous regions in China. During the year, five new jointly-operated properties were added, extending coverage to diverse cultural and ecological regions, including Inner Mongolia, Guangdong, Zhejiang, Shandong and Xinjiang. By positioning accommodation as a catalyst for local development, the program continues to deepen the integration of tourism and community economies. In 2025, Country Retreats recorded a 21% year-over-year increase in room nights, an approximately 8% increase in total revenue from these accommodation reservations and a 15% increase in non-room revenue from these activities. The program directly created over 400 jobs and indirectly supported approximately 11,000 local employment opportunities. Over the past five years, its cumulative employment impact has reached approximately 51,000 jobs, demonstrating the multiplier effect of the “Accommodation+” model in rural revitalization. Country Retreats adopt a strongly localized operating model, prioritizing local recruitment and providing structured training to build long-term employment capacity. At the same time, the program integrates surrounding agricultural, handicraft and cultural resources to develop sustainable local value chains.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82"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Given that the majority of our operations are conducted online, we have a limited impact on the environment with a small carbon footprint and our carbon reduction measures focus mainly on reducing energy consumption and improving energy efficiency at our headquarters. Designed as a green building, our headquarters was awarded Leadership in Energy and Environmental Design Gold precertification with several implemented environmental initiatives including the application of an intelligent building energy management system.</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do not operate any manufacturing or warehousing facilities. Therefore, we are not subject to significant health, work safety, social, or environmental risks. To ensure compliance with applicable laws and regulations, from time to time, our human resources department would, if necessary and after consultation with our legal advisor, adjust our human resources policies to accommodate material changes to the labor and safety laws and regulations. For the year ended December 31, 2025 and up to the date of this annual report, we had not been subject to any material fines or other penalties due to non-compliance with health, work safety, social, or environmental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 global business, we are subject to changing government regulations across multiple jurisdictions. New laws and regulations may be adopted from time to time. This section sets forth the most important laws and regulations that govern our current business activities in multiple jurisdictions across the globe, including the PRC, the European Union, Singapore, the United Kingdom and certain other jurisdictions.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PRC Regulations</w:t>
      </w:r>
    </w:p>
    <w:p>
      <w:pPr>
        <w:spacing w:after="0" w:line="121"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Current PRC laws and regulations impose restrictions on foreign ownership of certain businesses in China. As a result, we conduct these businesses in China through contractual arrangements with the VIEs as well as certain independent travel agencies. Some of our employees and senior consultants, all of whom are PRC citizens, directly or indirectly own all or most of the equity interests in the VIEs as of the date of this annual report.</w:t>
      </w:r>
    </w:p>
    <w:p>
      <w:pPr>
        <w:spacing w:after="0" w:line="15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According to our PRC legal counsel, Commerce &amp; Finance Law Offices, the ownership structures, as described in this annual report, comply with all existing PRC laws, rules, and regulations.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Foreign Investment in China</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Foreign Investment Industrial Policy</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Investment activities in China by foreign investors are principally governed by the Catalog for the Encouragement of Foreign Investment Industries (2025 Edition) and the 2024 Negative List promulgated by the Ministry of Commerce and the NDRC, which set forth the industries in which foreign investments are encouraged, restricted, and prohibited. Industries that are not listed in the Catalog for the Encouragement of Foreign Investment Industries (2025 Edition) and the 2024 Negative List are generally open to foreign investment unless otherwise specifically restricted by other PRC rules and regulations.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According to the 2024 Negative List, the foreign equity interests ownership of entities that engage in value-added telecommunications business (except for e-commerce, domestic multi-party communication, storage and forwarding and call center) must not exceed 50%, and foreign investors are allowed to hold up to 100% of equity interests in an online data processing and transaction processing business (including e-commerce business operation) in China.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PRC Foreign Investment Law and its Implementation Measures</w:t>
      </w:r>
    </w:p>
    <w:p>
      <w:pPr>
        <w:spacing w:after="0" w:line="11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PRC Foreign Investment Law, effective since January 1, 2020, provides the definition of “foreign-invested enterprises” and “foreign investment”. The Measures on Reporting of Foreign Investment Information, jointly promulgated by the Ministry of Commerce and the SAMR and effective since January 1, 2020, provide that foreign investors or foreign-invested enterprises must submit investment information to the commerce administrative authorities through the Enterprise Registration System and the National Enterprise Credit Information Publicity System.</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Circular of the General Office of the State Council on the Establishment of Security Review System for the Merger and Acquisition of Domestic Enterprises by Foreign Investors issued on February 3, 2011 and the Rules on Implementation of Security Review System for the Merger and Acquisition of Domestic Enterprises by Foreign Investors issued by the Ministry of Commerce that came into effect on September 1, 2011 require acquisitions by foreign investors of PRC companies engaged in military-related or certain other industries that are crucial to national security be subject to security review before consummation of any such acquisition. The Foreign Investment Security Review Measures came into effect on January 18, 2021, which require direct or indirect investment by foreign investors of PRC companies engaged in military-related or certain other industries be subject to security review before consummation of any such investment. “Certain other industries” refer to, among others, important transportation services, important culture products and services, important information technology and internet products and services, and important finance services that are crucial to national security.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Value-Added Telecommunications Services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PRC Telecommunications Regulations, most recently amended in February 2016, provide the regulatory framework for telecommunications service providers in China and require a telecommunications service provider to obtain an operating license prior to commencing its operations. The Telecommunications Regulations categorize all telecommunications services as either basic telecommunications services or value-added telecommunications services. Providers of value-added telecommunications services are required to obtain a license for value-added telecommunications services. Pursuant to the Catalog of Telecommunications Services, an attachment to the Telecommunications Regulations, which was most recently amended on June 6, 2019, information services provided via the public telecommunication network or the internet and the online data processing and transaction processing services provided via the public telecommunication network or the internet by utilizing various kinds of data and transaction processing application platforms that are connected to the public telecommunication network or the internet fall within value-added telecommunications services.</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According to the Administrative Measures on Internet Information Services last amended on December 6, 2024, the internet information services are classified into commercial internet information services and non-commercial internet information services; an operator of commercial internet information services must obtain a value-added telecommunications operating license for the provision of internet information services from the appropriate telecommunications authorities. The internet information services providers shall not produce, reproduce, publish or disseminate any information that contains content prohibited by laws and regulations. The Administrative Measures for Telecommunications Operating Licenses came into effect on September 1, 2017 and further regulate the telecommunications operating licenses.</w:t>
      </w:r>
    </w:p>
    <w:p>
      <w:pPr>
        <w:spacing w:after="0" w:line="18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Since 2016, the CAC, the National Radio and Television Administration, the SAMR and other certain authorities have promulgated a series of regulations governing online live streaming. These include, among others, the Administrative Regulations on Online Live Streaming Services, the Circular on Issues concerning Strengthening the Administration of Online Live Streaming of Audio-Visual Programs, the Measures for the Administration of Online Performance Business Operations, the Guidelines on Strengthening Supervision of Online Live Streaming Marketing Activities, the Administrative Measures for Live Streaming Marketing (Trial), the Notice on Strengthening the Management of Online Show Live Streaming and E-commerce Live Streaming, the Guidelines on Strengthening the Management of Online Live Streaming Operations, the Opinions on Further Compacting the Main Responsibility of the Website Platform on Information Content Management and the Notice on Further Standardizing the Profit-Making Behavior of Live Streaming to Promote the Healthy Development of the Industry. According to these regulations, online live streaming platforms and/or service providers shall fulfill specific obligations, such as regulating in-platform transactions, conducting real-name authentication for users and streamers, strengthening protection for minors, improving the content review system, and safeguarding personal information and data security.</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82"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Measures on Supervision of Live Streaming E-commerce came into effect on February 1, 2026. According to these measures, live streaming e-commerce platform operators are required to collect and verify the authentic identity information, actual business addresses, contact information, relevant administrative licenses, and other necessary information of the live streaming room operators applying to conduct e-commerce activities on the platform, and to maintain a registration file for them. Such verification shall be renewed at least every six months. Moreover, the platform operators are also required to ask the live streaming room operators to provide verified identity information of the live marketing personnel before the first live streaming. The identity information of both live streaming room operators and live marketing personnel shall be submitted to the relevant authority in January and July of each year.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Travel Agency</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PRC Tourism Law, which was last amended in 2018, aims to protect tourists’ and tour operators’ legal rights, regulate the travel market, protect and make a reasonable use of travel resources, and promote the development of the travel industry, and sets forth specific requirements for the operation of travel agencies and the activities in which travel agencies are prohibited from engaging.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travel industry is subject to the supervision of the Ministry of Culture and Tourism and local tourism administrations. The principal regulations governing travel agencies in China include the Travel Agency Regulations, most recently amended on November 29, 2020, and the Implementing Rules of Travel Agency Regulations, most recently amended on December 12, 2016. Under these regulations, a travel agency must obtain a license for outbound travel agency business from the tourism administrative department of the State Council or its authorized provincial-level tourism administration, and a license for domestic and inbound travel agency business from the provincial-level tourism administration or its authorized municipal tourism administration.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Travel Agency Regulations permit foreign investors to establish foreign invested travel agencies. Foreign-owned travel agencies are allowed to open branches nationwide, but are restricted from engaging in outbound tourism business for the Chinese mainland residents, unless otherwise determined by the State Council, or provided under a free trade agreement between the country and China, or any closer economic partnership arrangements between the Chinese mainland, Hong Kong, and Macao. Since 2009, a series of policies have been published to gradually allow foreign invested travel agencies to engage in the business of arranging for PRC residents to travel to overseas destinations on a trial basis, including the Opinion on Accelerating Development of Travel Industry, the Interim Measures for Supervising Pilot Operation of Overseas Travel Business, the Plan to Strengthen the Reform and Open-up Policy in China (Shanghai) Pilot Free Trade Zone, the Approval to the Work Plan on Fully Promoting the Comprehensive Pilot Program for Expanding the Opening-Up of the Service Industry of Beijing Municipality and the approvals of the State Council to temporarily adjust relevant regulations.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August 20, 2020, the Ministry of Culture and Tourism promulgated a Tentative Administrative Measure on Online Travel Operation, which intends to standardize the online travel operation business. The online travel operation services mean the provision of travel services to the travelers via the information network such as internet and such services include package tour, transportation, accommodation, dining, sightseeing, entertainment, and so on. The operator of an online travel business must provide real and accurate travel services information without false promotion and advertisement. The operator of an online travel platform must verify the identification, license, quality standard, and credit rating of all travel business operators registered on the platform. The online travel business operator must protect the personal data privacy of travelers and must not set unfair trading conditions based on traveler’s consumption records and travel preferences by abusing data analyzing technology. The platform operator must examine the license and qualification of travel business operators inside the platform and alert the travelers for safety warning, and should take the corresponding liability if it fails to perform the obligations requested by such administrative measures.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Air-Ticketing</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air-ticketing business is subject to the supervision of the China Air Transport Association and its branches. The Self-Discipline Measures for Air Passenger and Cargo Sales Agency Industry promulgated by the China Air Transport Association came into effect on March 1, 2019, which encourages self-discipline administration for the air transportation sale agency industry. The China Air Transport Association has further promulgated the Business Standards of Air Passenger Transportation Sales Agencies and the Business Standards of Air Freight Transportation Sales Agencies, which introduce general business standards applied by airlines for selecting and authorizing their air-ticketing sales agents.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82"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August 2017, the Civil Aviation Administration of China issued the Notice on Regulating Online Air-ticketing, pursuant to which online air-ticketing platforms cannot conduct bundle sales of any other services and products by default along with selling air tickets. The online air-ticketing platform must display ancillary air-ticket-related services and products (such as VIP lounge coupons and insurance) in an explicit and accurate manner and can only offer such services and products to customers as options in addition to their air ticket purchases.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Administrative Provisions on Public Air Transport Passenger Services, which were promulgated by the Ministry of Transport and came into effect on September 1, 2021, stipulate certain obligations of aviation sales online platform operators and agents.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E-Commerce</w:t>
      </w:r>
    </w:p>
    <w:p>
      <w:pPr>
        <w:spacing w:after="0" w:line="119"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The Measures for the Supervision and Administration of Online Trading, effective in May 2021 and amended in March 2025, stipulate the obligations of online trading operators. Social networking, live streaming, or other network services providers who provide online trading platform services for operators must perform the obligations in accordance with the laws and regulations. On December 24, 2014, the Ministry of Commerce promulgated the Provisions on the Procedures for Formulating Transaction Rules of Third-Party Online Retail Platforms (Trial) to regulate the formulation, revision, and enforcement of transaction rules for online retail marketplace platforms.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PRC E-Commerce Law, which came into effect on January 1, 2019, imposes a series of requirements on e-commerce operators including e-commerce platform operators, merchants operating on the platform and the individuals and entities carrying out business online. According to the PRC E-Commerce Law, e-commerce operators who provide search results based on consumers’ characteristics, such as hobbies and consumption habits, must also provide consumers with options that are not targeted at their personal characteristics at the same time, respect and fairly protect the legitimate interests of the consumers. In addition, e-commerce platform operators are not allowed to impose unreasonable restrictions over or add unjustified conditions to transactions concluded on their platforms by merchants, or charge merchants operating on their platforms any unreasonable fees. In 2025, the SAMR, together with other relevant authorities, promulgated a series of regulations governing the transactions on online trading platforms to ensure fairness and transparency in online transactions, such as the Measures for the Supervision and Administration of Online Trading Platform Rules, the Compliance Guidelines for Charging Practices of Online Trading Platforms, and the Rules on Price-Related Conducts of Internet Platforms. The Interim Measures for Collaborating with Law Enforcement regarding Online Transactions, which came into effect on January 20, 2025, stipulate that relevant authorities have the right to require platform operators to provide information of online transactions within their platforms and collaborate in law enforcement activities.</w:t>
      </w:r>
    </w:p>
    <w:p>
      <w:pPr>
        <w:spacing w:after="0" w:line="19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 e-commerce platform operator must obtain a license for value-added telecommunications services with the specification of online data processing and transaction processing business from appropriate telecommunications authorities, pursuant to the PRC Telecommunications Regulations and the Catalog of Telecommunications Services.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Consumer Protection</w:t>
      </w:r>
    </w:p>
    <w:p>
      <w:pPr>
        <w:spacing w:after="0" w:line="11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PRC Consumer Protection Law was last amended on October 25, 2013 and became effective on March 15, 2014. The PRC Consumer Protection Law sets out the obligations of business operators and the rights and interests of consumers. Business operators must guarantee the quality, function, usage and term of validity of the goods or services they sell or provide, if these goods and services are consumed under normal standards. The consumers whose interests have been damaged due to their purchase of goods or acceptance of services on online platforms may claim damages from the sellers or service providers. Online platform operators may be subject to liabilities if the lawful rights and interests of consumers are infringed in connection with consumers’ purchase of goods or acceptance of services on online platforms if the platform operators fail to provide consumers with authentic contact information of the sellers or service providers. The Implementation Rules of the PRC Consumer Protection Law came into effect on July 1, 2024, according to which, if the business operators adopt automatic extension, automatic renewal, or other similar mechanisms in connection with the provisions of their services, the business operators must prominently draw the attention of the consumers before they accept the service and before the dates of automatic extension, automatic renewal, or the effectiveness of other mechanisms. The business operators cannot send commercial information to consumers or make commercial telephone calls without the consent of the consumers. In the event that a consumer consents to receiving commercial information and/or commercial telephone calls, the business operators must provide clear and convenient means of cancellation and must immediately stop these behaviors if the consumer chooses to cancel.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Internet Information Security and Privacy Protection</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Internet content in China is also regulated and restricted from a state security point of view. A series of laws and regulations were promulgated to regulate Internet security, including but not limited to, the Decision Regarding the Safeguarding of Internet Security, the Administrative Measures for the Security Protection of International Connections to Computer Information Network, the Several Provisions on Regulating the Market Order of Internet Information Services, the Order for the Protection of Telecommunication and Internet User Personal Information, the Administrative Provisions on Mobile Internet Applications Information Services, the Administrative Provisions on Internet Follow-up Comment Services, the Notice on Special Governance of Illegal Collection and Use of Personal Information via Apps, the Measures to Identify Illegal Collection and Usage of Personal Information by Apps, the Notice on Carrying out Special Rectification Actions in Depth against the Infringement on Users’ Rights and Interests by Apps and the Provision on Scope of Necessary Personal Information for Common Types of Mobile Internet Applications.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issued the PRC Cyber Security Law, which came into effect on June 1, 2017 and was amended on October 28, 2025. The PRC Cyber Security Law provides that network operators must set up a classified protection system for cyber security. The PRC Cyber Security Law imposes a relatively vague but broad obligation to provide technical support and assistance to the public and state security authorities in connection with criminal investigations or for reasons of national security. The PRC Cyber 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 On August 29, 2015, the Standing Committee of the National People’s Congress issued the Ninth Amendment to the PRC Criminal Law, effective on November 1, 2015. Any internet service provider that fails to comply with obligations related to internet information security administration as required by applicable laws and refuses to rectify upon order will be subject to criminal penalty.</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Since 2021, the CAC and other government authorities have promulgated a series of laws and regulations relating to information protection and data security, including but not limited to, the PRC Data Security Law, the Guidance on Strengthening the Comprehensive Governance of Internet Information Service Algorithms, the Administrative Provisions on Internet Information Service Algorithm-Based Recommendation, the Administrative Provisions on Internet Information Service Deep Synthesis, the PRC Personal Information Protection Law, the Cybersecurity Review Measures, the Regulations on the Security Protection of Critical Information Infrastructure, the Security Assessment Measures for Data Outbound Transfer, the Provisions on Facilitating and Regulating Cross-border Data Flow, the Administrative Regulations on Network Data Security, the Administrative Measures on Data Security in the Field of Industry and Information Technology (Trial) and the Administrative Measures for Personal Information Protection Compliance Audit.</w:t>
      </w:r>
    </w:p>
    <w:p>
      <w:pPr>
        <w:spacing w:after="0" w:line="192" w:lineRule="exact"/>
        <w:rPr>
          <w:sz w:val="20"/>
          <w:szCs w:val="20"/>
          <w:color w:val="auto"/>
        </w:rPr>
      </w:pPr>
    </w:p>
    <w:p>
      <w:pPr>
        <w:jc w:val="both"/>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The PRC Data Security Law established a tiered system for data protection in terms of their importance. Data categorized as “important data”, which will be determined by governmental authorities in the form of catalogs, are required to be treated with higher level of protection. In addition, processors of such data are required to evaluate the risks of its data activities periodically and file assessment reports with the regulatory authorities.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PRC Personal Information Protection Law integrates a variety of rules with respect to personal information rights and privacy protection and applies to the processing of personal information within the Chinese mainland and certain personal information processing activities outside the Chinese mainland, including those for the provision of products and services to natural persons within China or for the analysis and assessment of acts of natural persons within China. On July 7, 2022, the CAC promulgated the Security Assessment Measures for Data Outbound Transfer to outline the requirements and procedures for security assessments on export of important data or personal information collected or generated within the territory of China. In March, 2024, the CAC further issued the Provisions on Facilitating and Regulating Cross-border Data Flow, according to which data processors who transfer personal information outbound may be exempt from the requirements for security assessment, concluding a standard contract and obtaining security certification under certain circumstances, including when it is necessary to transfer personal data overseas for the purpose of executing and performing a contract to which the individual is a party, such as air ticket and hotel reservation.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82"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Cybersecurity Review Measures set forth that, where the activity affects or may affect national security, a critical information infrastructure operator that purchases network products and services, or an internet platform operator that conducts data processing activities, must be subject to the cybersecurity review; “internet platform operators” in possession of personal information of over one million users are also subject to the cybersecurity review requirement if such operators intend to pursue a foreign listing. Additionally, PRC governmental authorities may initiate a cybersecurity review if they determine an internet platform operator’s network products or services or data processing activities affect or may affect national security. According to the Regulations on the Security Protection of Critical Information Infrastructure, the critical information infrastructure operator must perform certain obligations to protect the critical information infrastructure’s security, including, but not limited to, conducting network security test and risk assessment at least once a year. The security protection departments are responsible for organizing the identification of critical information infrastructure in their respective industries and areas in accordance with the identification rules, and will inform to the operators of the identification results in a timely manner and report such results to the public security department of the State Council. According to the Administrative Regulations on Network Data Security, network data processors who carry out network data processing activities that affect or may affect national security shall go through a national security review in accordance with relevant regulations. In addition, the service providers of large network platforms, i.e., platforms with more than 50 million registered users or more than 10 million monthly active users with complex business types and whose network data processing activities have a significant impact on national security, economic operation, national economy and people’s livelihood or other aspects, shall issue annual reports on their social responsibility for personal information protection.</w:t>
      </w:r>
    </w:p>
    <w:p>
      <w:pPr>
        <w:spacing w:after="0" w:line="19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Administrative Measures for Personal Information Protection Compliance Audit were promulgated by the CAC on February 12, 2025, and will take effect on May 1, 2025. According to these measures, personal information processors who process personal information of more than</w:t>
      </w:r>
    </w:p>
    <w:p>
      <w:pPr>
        <w:ind w:left="120" w:right="100"/>
        <w:spacing w:after="0" w:line="271" w:lineRule="auto"/>
        <w:rPr>
          <w:sz w:val="20"/>
          <w:szCs w:val="20"/>
          <w:color w:val="auto"/>
        </w:rPr>
      </w:pPr>
      <w:r>
        <w:rPr>
          <w:rFonts w:ascii="Times New Roman" w:cs="Times New Roman" w:eastAsia="Times New Roman" w:hAnsi="Times New Roman"/>
          <w:sz w:val="17"/>
          <w:szCs w:val="17"/>
          <w:color w:val="auto"/>
        </w:rPr>
        <w:t>10 million individuals should conduct a personal information protection compliance audit (the “Compliance Audit”) at least every two years, who process personal information of more than 1 million individuals shall designate a person responsible for the Compliance Audit, and who provide important Internet platform services with large number of users and have complex business types shall establish an independent organization composed mainly of external members to supervise the Compliance Audit. Under certain circumstances, the CAC and other departments that perform the duty of personal information protection may require the personal information processors to entrust professional organizations to conduct Compliance Audit.</w:t>
      </w:r>
    </w:p>
    <w:p>
      <w:pPr>
        <w:spacing w:after="0" w:line="17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PRC government authorities have wide discretion in the interpretation and enforcement of these laws. As a major internet platform, we are exposed to risks of being deemed to be a critical information infrastructure operator or a network platform operator meeting the above criteria under the PRC cybersecurity laws.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Generative AI</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According to the Provisions on the Management of Network Information Content Ecology issued by the CAC in December 2019, a network information content service platform must not, among others, utilize new technologies such as deep-learning and virtual reality to engage in activities prohibited by laws and regulations.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According to the Administrative Provisions on Internet Information Service Algorithm-Based Recommendation, which came into effect in March 2022, providers of algorithm recommendation services with public opinion attributes or social mobilization capabilities should fill in information such as the name of the service provider, service form, application area, type of algorithm, algorithm self-assessment report, intended public content and other information through the Internet Information Services Algorithm Filing System within ten working days from the date of service provision to fulfill the filing procedures, and shall conduct a security assessment in accordance with relevant regulations.</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According to the Administrative Provisions on Internet Information Service Deep Synthesis, which came into effect in January 2023, deep synthesis service providers are required to fulfill their primary responsibilities for information security, establish and improve management systems for various aspects, including user registration, algorithm mechanism review, scientific and technological ethics review, information release review, data security, personal information protection, combating telecom and online fraud, and emergency response, and implement secure and controllable technical support measures. According to the Interim Measures on the Management of Generative AI Services, which became effective in August 2023, providers of generative AI who provide services to the public within the territory of the PRC are required to conduct data processing and training activities in accordance with PRC laws and regulations and assume responsibility as producers of online content, as well as fulfill online information security obligations. Other requirements under these measures include, but are not limited to, the use of legitimate data sources, no infringement on others’ legitimate intellectual property rights, and obtaining consent for personal information usage. Violations may result in punishment specified under the PRC data and cybersecurity legal regime, including, but not limited to the PRC Cybersecurity Law, the PRC Data Security Law, the PRC Personal Information Protection Law, and the PRC Scientific and Technological Progress Law. In the absence of any specific provisions, violations may result in warnings, orders to correct, and orders to suspend the provision of services determined by competent governmental authorities. Providers of deep synthesis services and generative AI services with public opinion attributes or social mobilization capabilities should conduct a security assessment and fulfill applicable filing or registration procedures in accordance with these laws and regulations.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82"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7, 2025, the CAC and three other PRC government authorities jointly issued the Measures for Identification of AI Generated Synthetic Contents, which came into effect on September 1, 2025. According to these measures, explicit identifications shall be added to the generated synthetic contents if the service providers provide certain generated synthetic services, such as intelligent dialogue, intelligent writing, synthetic voice, face generation, immersive scene generation, which may lead to public confusion or misidentification. Meanwhile, implicit identifications should be added in the metadata of the documents of generated synthetic contents, which shall include the attribute information of the generated synthetic contents, name or code of the service providers, content serial number and other production element information. The service providers are encouraged to add implicit identifications in such forms as digital watermarks, to the generated synthetic contents.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Advertising Business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PRC Advertising Law, which was last amended on April 29, 2021, requires advertisers to ensure that the content of the advertisements is true.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content of advertisements shall not contain prohibited information.</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February 25, 2023, the SAMR promulgated the Measures for Administration of Internet Advertising, which regulate any advertisements published on the internet, including, but not limited to, those on websites, webpage, and apps, those in the forms of word, picture, audio, video, and others, and stipulate the obligations of the advertisers, the internet advertising operators, and the internet information service providers. According to these measures, internet platform operators shall take measures to prevent and stop illegal advertisements when providing internet information services, and the product seller or the service provider who markets any product or service through live streaming on the internet, which constitutes a commercial advertisement, must take the corresponding responsibilities and perform obligations of advertisers in accordance with the laws and regulations, and the live streaming operators and marketers should also take corresponding responsibilities and perform obligations if they provide advertising design, production, agency, or publishing services or constitute an advertising endorsement.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Insurance Business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According to the Administrative Measures for Licenses of Banking and Insurance Institutions, which came into effect on July 1, 2021, insurance agencies must obtain an insurance intermediary license.</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Provisions on the Supervision and Administration of Insurance Agents, which came into effect on January 1, 2021, provide that an “insurance agent” refers to an agent that is instructed by and receives commissions from insurance companies to handle insurance services to the extent authorized by the insurance companies, including professional insurance agencies, sideline insurance agencies, and individual insurance agents. Professional insurance agencies and the sideline insurance agencies that are legal persons must obtain license relating to insurance agency operations from the insurance regulatory authority under the State Council.</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Measures on the Supervision and Administration of Internet Insurance Business, which came into effect on February 1, 2021, internet insurance businesses should be carried out by insurance institutions legally established, including insurance companies and insurance intermediaries, and the insurance institutions are required to run an online platform operated in-house that satisfies certain conditions.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Intellectual Property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Trademark</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Trademarks are protected by the PRC Trademark Law and the Implementation Regulation of the PRC Trademark Law. In China, registered trademarks include commodity trademarks, service trademarks, collective marks, and certification marks. The Trademark Office of the China National Intellectual Property Administration handles trademark registrations and grants a term of 10 years to registered trademarks commencing from the date of registration and the registered trademarks can be renewed every 10 years where a registered trademark needs to be used after the expiration of its validity term.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Patent</w:t>
      </w:r>
    </w:p>
    <w:p>
      <w:pPr>
        <w:spacing w:after="0" w:line="11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Pursuant to the PRC Patent Law and the Implementing Rules of the PRC Patent Law, there are three types of patents in China: invention patents, utility model patents, and design patents. The protection period of a patent right for invention patents is 20 years, and the protection period of a patent right for utility model patents and design patents is 10 and 15 years, respectively, both commencing from the filing date. Any entity or individual that seeks to exploit a patent owned by another party should enter into a patent license contract with the patent owner concerned and pay patent royalties to the patent owner. Pursuant to the Measures for the Filing of Patent Licensing Contracts, the State Intellectual Property Office is responsible for filing of patent licensing contracts nationwide and the parties concerned must complete filing formalities within three months from the effective date of a patent licensing contract.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Copyright</w:t>
      </w:r>
    </w:p>
    <w:p>
      <w:pPr>
        <w:spacing w:after="0" w:line="1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Under the currently effective PRC Copyright Law, Chinese citizens, legal persons, or other organizations are entitled to, whether published or not, enjoy copyright in their works, which include, among others, works of literature, art, natural science, social science, engineering technology, and computer software. The purpose of the PRC Copyright Law is to encourage the creation and dissemination of works which are beneficial to the construction of socialist spiritual civilization and material civilization and promote the development and prosperity of socialist cultural and scientific undertakings.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According to the Computer Software Copyright Registration Measures, the National Copyright Administration is the competent authority for the nationwide administration of software copyright registration and the Copyright Protection Center of China is designated as the software registration authority. The Copyright Protection Center of China will grant registration certificates to the Computer Software Copyrights applicants if the applications conform to the provisions of both the Computer Software Copyright Registration Measures and the Computer Software Protection Regulations.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Domain Names</w:t>
      </w:r>
    </w:p>
    <w:p>
      <w:pPr>
        <w:spacing w:after="0" w:line="11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Administrative Measures on Internet Domain Names regulate that “.CN” and “zhongguo (in Chinese character)” are China’s national top level domains. Any party that engages in internet information services must use its domain name in compliance with laws and regulations and in line with the provisions of the telecommunications authority, and shall not use its domain name to commit any illegal 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Anti-Monopoly and Anti-Unfair Competition</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PRC Anti-Monopoly Law, which was last amended on June 24, 2022, applies to monopolistic practices in China, including (i) conclusion of monopoly agreements; (ii) abuse of the dominant market position by undertakings; and (iii) concentration of undertakings that has or may have the effect of eliminating or restricting competition. China’s anti-monopoly enforcement authority may investigate any suspected monopolistic practice through various measures, such as on-site inspection, inquiries, and reviewing and copying relevant documents. If a business operator violates the PRC Anti-Monopoly Law, it may be subject to an order to cease the violation, confiscation of illegal gains, and a fine of up to 10% of its preceding year’s sales revenue. Where the violation involves extremely serious circumstances, extremely negative impact, or grave consequences, a fine of 2 to 5 times the amount calculated based on the aforementioned percentage may be imposed. The 2022 amendment to the PRC Anti-Monopoly Law also allows public prosecutors to bring a civil public interest lawsuit based on monopolistic behaviors in accordance with the law, and significantly increased the penalties for violations of the PRC Anti-Monopoly Law, among others. In January 2026, we received notice that the SAMR commenced an investigation into whether we have abused or are abusing a dominant market position to engage in monopolistic conduct pursuant to the PRC Anti-Monopoly Law.</w:t>
      </w:r>
    </w:p>
    <w:p>
      <w:pPr>
        <w:spacing w:after="0" w:line="17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respect to monopoly agreements, the PRC Anti-Monopoly Law defines monopoly agreements as agreements, decisions or other concerted practices that eliminate or restrict competition. The PRC Anti-Monopoly Law prohibits competitors from entering into horizontal monopoly agreements to, among others, fix or change the prices of goods, restrict the output or sales volume of goods, divide the sales or raw material procurement markets, restrict the purchase of new technologies or equipment or development of new technologies or products, or engage in collective boycotts. Subject to the exceptions discussed below, the PRC Anti-Monopoly Law also prohibits business operators from entering into vertical monopoly agreements with their trading counterparties to fix the price for resale of goods to third parties or restrict the minimum price for resale of goods to third parties, among others. In addition, the PRC Anti-Monopoly Law prohibits business operators from organizing other business operators to enter into monopoly agreements or providing substantial assistance for other business operators to enter into monopoly agreements. For vertical monopoly agreements that fix the resale price or restrict the minimum resale price, a business operator shall not be prohibited from entry thereto if it can demonstrate that the agreement does not have the effect of eliminating or restricting competition. The PRC Anti-Monopoly Law also contains a “safe harbor” for vertical monopoly agreements entered into by business operators whose market share falls below a specific threshold and who meet other conditions to be set by the SAMR, under which such agreements are exempt from the prohibition on monopoly agreements.</w:t>
      </w:r>
    </w:p>
    <w:p>
      <w:pPr>
        <w:spacing w:after="0" w:line="19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With respect to abuse of dominant market position, the PRC Anti-Monopoly Law prohibits business operators with a dominant market position from selling goods at unfairly high prices or purchasing goods at unfairly low prices, or, without justifiable reasons, engaging in the following conduct: selling goods at prices below cost, refusing to transact with trading counterparties, restricting trading counterparties to transacting only with themselves or with business operators designated by them, tying products or imposing other unreasonable conditions on transactions, or applying discriminatory treatment in transaction prices or other transaction conditions to trading counterparties under equivalent conditions, among others. The PRC Anti-Monopoly Law also expressly prohibits business operators with a dominant market position from using, among others, data and algorithms, technology, and platform rules to engage in the abusive practices described above. Under the PRC Anti-Monopoly Law, factors for determining whether a business operator possesses a dominant market position include the market share of the business operator in the relevant market and the competition conditions in the relevant market, the ability of the business operator to control the sales market or the raw material procurement market, the financial and technical conditions of the business operator, the degree of dependence of other business operators on the business operator in terms of transactions, the difficulty for other business operators to enter the relevant market, and other relevant factors. The Provisions on Prohibiting the Abuse of a Dominant Market Position promulgated by the SAMR on March 10, 2023 set out detailed criteria for assessing each type of abusive conduct listed above, and further elaborate on the specific sub-factors to be considered under each of the aforementioned grounds for determining a dominant market position. In light of the SAMR investigation, if (i) we were determined to hold a dominant market position based on the factors described above, (ii) certain of our business practices were found to constitute abuse of market dominant position under the above provisions, and (iii) such business practices were found to eliminate or restrict competition in the relevant market(s), we could be subject to the penalties described above.</w:t>
      </w:r>
    </w:p>
    <w:p>
      <w:pPr>
        <w:spacing w:after="0" w:line="19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With respect to concentration of undertakings, the PRC Anti-Monopoly Law defines concentration of undertakings as (i) merger of business operators; (ii) a business operator acquiring control over other business operators by acquiring their equity interests or assets; or (iii) a business operator acquiring control over, or the ability to exercise decisive influence on, other business operators by contract or other means. Where a proposed concentration reaches the filing thresholds prescribed by the State Council, the business operators must file with the anti-monopoly enforcement authority in advance and may not implement the concentration without having done so. Furthermore, for concentrations below the filing thresholds, if there is evidence indicating that the concentration of undertakings has or may have the effect of eliminating or restricting competition, the anti-monopoly authority may order the business operators to file. If a concentration of undertakings has or may have the effect of eliminating or restricting competition, the anti-monopoly enforcement authority shall make a decision to prohibit the concentration; however, where the business operators can demonstrate that the pro-competitive effects of the concentration clearly outweigh its anti-competitive effects, or that the concentration is in the public interest, the authority may make a decision not to prohibit it. The 2022 amendment to the PRC Anti-Monopoly Law grants the SAMR the power to suspend the review period in merger investigations under specified circumstances.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January 22, 2024, the State Council released the Provisions of the State Council on the Threshold for the Filing of Concentration of Undertakings. These provisions significantly adjust the revenue threshold of merger control filing to either one of the following two conditions: (i) the total global turnover of all business operators participating in the transaction exceeded RMB12.0 billion and at least two of these business operators each had a turnover of more than RMB800 million within China during the previous fiscal year, or (ii) the total turnover within China of all the business operators participating in the concentration exceeded RMB4.0 billion and at least two of these business operators each had a turnover of more than RMB800 million within China during the previous fiscal year. The Provisions on the Review of Concentrations of Undertakings further clarify the factors that should be considered to determine whether an undertaking acquires control over, or may exercise decisive influence on, other undertakings.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February 2021, the Anti-Monopoly Guidelines for the Internet Platform Economy Sector were promulgated by the Anti-Monopoly Commission of the State Council. The guidelines, which are consistent with the PRC Anti-Monopoly Law, provide guidance on the identification of monopoly agreements, abuse of dominant market position and concentration of undertakings that may have the effect of eliminating or restricting competition in the field of platform economy. More specifically, the guidelines outline certain practices that may, if without justifiable reasons, constitute abuse of dominant market position. Such practices include, without limitation, unfair pricing, below-cost selling, refusal to deal, exclusive dealing arrangements, tying or imposing unreasonable trading conditions (including compulsory collection of unnecessary user data), and discriminatory treatment such as tailored pricing using big data and algorithms. The guidelines also expressly state that concentration of undertakings involving variable interest entities will also be subject to antitrust filing requirements.</w:t>
      </w:r>
    </w:p>
    <w:p>
      <w:pPr>
        <w:spacing w:after="0" w:line="192" w:lineRule="exact"/>
        <w:rPr>
          <w:sz w:val="20"/>
          <w:szCs w:val="20"/>
          <w:color w:val="auto"/>
        </w:rPr>
      </w:pPr>
    </w:p>
    <w:p>
      <w:pPr>
        <w:jc w:val="both"/>
        <w:ind w:left="120" w:right="460" w:firstLine="440"/>
        <w:spacing w:after="0" w:line="289" w:lineRule="auto"/>
        <w:rPr>
          <w:sz w:val="20"/>
          <w:szCs w:val="20"/>
          <w:color w:val="auto"/>
        </w:rPr>
      </w:pPr>
      <w:r>
        <w:rPr>
          <w:rFonts w:ascii="Times New Roman" w:cs="Times New Roman" w:eastAsia="Times New Roman" w:hAnsi="Times New Roman"/>
          <w:sz w:val="17"/>
          <w:szCs w:val="17"/>
          <w:color w:val="auto"/>
        </w:rPr>
        <w:t>In addition, the SAMR issued a series of guidelines in recent years to assist business operators in enhancing their capabilities for preventing, controlling and handling anti-monopoly compliance risks, such as the Overseas Anti-Monopoly Compliance Guidelines for Enterprises, the Anti-Monopoly Compliance Guidelines on Concentrations of Undertakings, and the Anti-Monopoly Compliance Guidelines for Internet Platforms, etc.</w:t>
      </w:r>
    </w:p>
    <w:p>
      <w:pPr>
        <w:spacing w:after="0" w:line="158"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According to the PRC Anti-Unfair Competition Law, which was last amended on June 27, 2025, unfair competition refers to situations where business operators disrupt the market competition order and damage the legitimate rights and interests of other business operators or consumers in violation of the provisions of the PRC Anti-Unfair Competition Law in their production and operating activities. The SAMR promulgated the Interim Provisions on Anti-Unfair Online Competition on May 6, 2024, which came into effect on September 1, 2024. Pursuant to the provisions, a platform operator with competitive advantages, without justifiable reasons, shall not make use of technical means to abuse background transaction data, traffic or other information advantages and management rules, to impede or disrupt the normal operation of cyber goods or services legally provided by other business operators and disrupt the fair competition order of the market by shielding any third party’s operating information or unjustifiably interfering with the display order of goods or otherwise. A platform operator shall not take advantage of service agreements, transaction rules or other means to impose unreasonable restrictions on or attach unreasonable conditions to the transactions of the business operators using the platform, the transaction price and the transactions with other business operators. The PRC Price Law, which came into effect on May 1, 1998, requires that business operators shall follow the principles of fairness, legality, and good faith when setting prices. The Regulation on Marking Prices Clearly and Prohibiting Price Fraud requires that business operators shall not infringe upon the lawful rights and interests of consumers or other business operators, or disrupt market price order by taking advantage of pricing means, and shall clearly mark prices in a prominent manner and specify the goods or services corresponding to the prices.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Labor and Social Security</w:t>
      </w:r>
    </w:p>
    <w:p>
      <w:pPr>
        <w:spacing w:after="0" w:line="11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According to the PRC Labor Law, the PRC Labor Contract Law and the Implementation Regulations on the PRC Labor Contract Law, labor contracts in written form must be executed to establish labor relationships between employers and employees. In addition, wages cannot be lower than a local minimum wage. Employers must establish a system for labor safety and sanitation, strictly abide by national rules and standards, provide education regarding labor safety and sanitation to their employees, provide employees with labor safety and sanitation conditions and necessary protection materials in compliance with state rules and carry out regular health examinations for employees engaged in work involving occupational hazards.</w:t>
      </w:r>
    </w:p>
    <w:p>
      <w:pPr>
        <w:spacing w:after="0" w:line="168"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According to the PRC Social Insurance Law, the Provisional Regulations on the Collection and Payment of Social Insurance Premiums and the Regulations on the Administration of Housing Fund, employers are required to contribute, on behalf of their employees, to a number of social security funds, including funds for basic pension insurance, unemployment insurance, basic medical insurance, occupational injury insurance, maternity insurance and housing funds. Any employer who fails to contribute may be fined and ordered to make up for the deficit within a stipulated time limit.</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Taxation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Enterprise Income Tax</w:t>
      </w:r>
    </w:p>
    <w:p>
      <w:pPr>
        <w:spacing w:after="0" w:line="117"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According to the PRC Enterprise Income Tax Law and the Implementation Regulations on the Enterprise Income Tax Law, a uniform income tax rate of 25% should be applied to resident enterprises and non-resident enterprises that have “establishment or place” situated in China. Besides enterprises established within China, enterprises established in accordance with the laws of other jurisdictions whose “de facto management bodies” are within China are considered “resident enterprises” and subject to the uniform 25% enterprise income tax rate for their global income. A non-resident enterprise refers to an entity established under foreign law whose “de facto management bodies” are not within China but which has an establishment or place of business in China, or which does not have an establishment or place of business in China but has income sourced within China. An income tax rate of 10% should normally be applicable to dividends declared to or any other gains realized on the transfer of shares by non-PRC resident enterprise investors that do not have an establishment or place of business in China, or that have such establishment or place of business but the income is not substantially connected with the establishment or place of business, to the extent such dividends or other gains are derived from sources within China.</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According to the Arrangement between the Mainland of China and the Hong Kong Special Administrative Region for the Avoidance of Double Taxation and the Prevention of Fiscal Evasion with respect to Taxes on Income entered into on August 21, 2006, if the non-PRC parent company of a PRC enterprise is a Hong Kong resident which directly owns 25% or more of the equity interest of the PRC foreign-invested enterprise which pays the dividends, the 10% withholding tax rate applicable under the PRC Enterprise Income Tax Law may be lowered to 5% if a Hong Kong resident enterprise is determined by the competent PRC tax authority to have satisfied the conditions and requirements under such Arrangement between the Mainland of China and the Hong Kong Special Administrative Region for the Avoidance of Double Taxation and the Prevention of Fiscal Evasion with respect to Taxes on Income and other applicable laws. The aforementioned tax treaty also provides a benefit for interest payments made by a PRC enterprise to a Hong Kong resident, allowing for a reduction in the withholding tax rate from 10% to 7%. However, according to the Notice on the Certain Issues with Respect to the Enforcement of Dividend Provisions in Tax Treaties, which came into effect on February 20, 2009, if the PRC tax authorities determine, in their discretion, that a company benefits unjustifiably from such reduced income tax rate due to a transaction or arrangement that is primarily tax-driven, such PRC tax authorities may adjust the preferential tax treatment; and based on the Announcement of the Certain Issues with Respect to the “Beneficial Owner” in Tax Treaties effective on April 1,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Arrangement between the Mainland of China and the Hong Kong Special Administrative Region for the Avoidance of Double Taxation and the Prevention of Fiscal Evasion with respect to Taxes on Income.</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Value-Added Tax</w:t>
      </w:r>
    </w:p>
    <w:p>
      <w:pPr>
        <w:spacing w:after="0" w:line="11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Value-Added Tax Law of the People’s Republic of China and its implementation rules came into effect on January 1, 2026, according to which, entities and individuals (including individual businesses) engaged in the sale of goods, services, intangible assets or real estate and the importation of goods in China shall pay value-added tax. The Value-Added Tax Law and its implementation rules provide the definition of taxable transactions, specify how to determine whether the taxable transaction took place in China, and renews the tax rates. According to a series of announcements published by the Ministry of Finance and the State Taxation Administration, the value-added tax levy rate applicable to the small-scale taxpayers is reduced to 1% until December 31, 2027. As of the date of this annual report, the rate of value-added tax applicable to our PRC subsidiaries and the variable interest entities generally varies from 1% to 13% depending on the product type.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Foreign Exchange Supervision</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PRC Regulation on the Foreign Exchange Control, which was last amended on August 5, 2008, and the Regulations on the Administration of Foreign Exchange Settlement, Sale and Payment, which came into effect on July 1, 1996. According to these regulations, Renminbi for current account items is freely convertible, including the distribution of dividends, interest payments, trade and service-related foreign exchange transactions, but not for capital account items, such as direct investments, loans, and investments in securities outside of China, unless the prior approval or record-filing of SAFE or its local counterpart is obtained.</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Since 2015, SAFE has issued a series of notices and circulars to reform the administrative methods regarding foreign exchange capital settlement of foreign-invested enterprises and promote the facilitation of cross-border trade and investment, including the Notice on Further Simplifying and Improving Policies for the Foreign Exchange Administration of Direct Investment, the Circular on Reforming and Regulating the Administrative Policy of the Settlement under Capital Accounts, the Circular on the Reforming of Administrative Methods Regarding the Foreign Exchange Capital Settlement of Foreign-Invested Companies, the Circular on Further Promoting the Facilitation of Cross-Border Trade and Investment, the Circular on Optimizing Administration of Foreign Exchange to Support the Development of Foreign-related Business, the Notice on Further Deepening Reforms to Facilitate Cross-Border Trade and Investment, the Notice on Deepening Reforms of Cross-Border Investment and Financing Foreign Exchange Administration and the Notice on Further Facilitating Foreign Exchange Settlement to Support Stable Foreign Trade Development.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Notice on Issues Concerning the Foreign Exchange Administration for Domestic Individuals Participating in Stock Incentive Plans of Overseas Publicly Listed Companies provides the registration procedures and relevant requirements for PRC citizens or non-PRC citizens residing in China for a continuous period of not less than one year (except for foreign diplomatic personnel in China and representatives of international organizations in China) to participate in any stock incentive plan of an overseas publicly listed company.</w:t>
      </w:r>
    </w:p>
    <w:p>
      <w:pPr>
        <w:spacing w:after="0" w:line="180"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Circular of SAFE on Foreign Exchange Administration of Overseas Investments and Financing and Round-Trip Investments by Domestic Residents via Special Purpose Vehicles promulgated by SAFE on July 4, 2014, effective on the same date, states that (i) a PRC resident, including a PRC domestic resident individual or a PRC domestic institution, must register with the local branch of SAFE before it contributes its assets or equity interest in domestic enterprises or offshore assets or interests into a special purpose vehicle for the purpose of investment and financing; and (ii) when the special purpose vehicle undergoes change of basic information, such as change in PRC resident natural person shareholder, name or operating period, or occurrence of a material event, such as change in share capital of a PRC resident natural person, performance of merger or split, the PRC resident must register such change with the local branch of SAFE in a timely manner.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Dividend Distributions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principal laws and regulations regulating the distribution of dividends by foreign-invested enterprises in China include the PRC Company Law and the PRC Foreign Investment Law. Under the current PRC regulatory regime, foreign-invested enterprises in China may pay dividends only out of their accumulated profit, if any, determined in accordance with PRC accounting standards and regulations. A PRC company, including a foreign-invested enterprise, is required to set aside as statutory reserve funds at least 10% of its after-tax profit, until the cumulative amount of such reserve funds reaches 50% of its registered capital, and cannot distribute any profits until any losses from prior fiscal years have been offset. Profits retained from prior fiscal years may be distributed together with distributable profits from the current fiscal year.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Relating to M&amp;A and Overseas Listings</w:t>
      </w:r>
    </w:p>
    <w:p>
      <w:pPr>
        <w:spacing w:after="0" w:line="119" w:lineRule="exact"/>
        <w:rPr>
          <w:sz w:val="20"/>
          <w:szCs w:val="20"/>
          <w:color w:val="auto"/>
        </w:rPr>
      </w:pPr>
    </w:p>
    <w:p>
      <w:pPr>
        <w:ind w:left="120" w:right="420" w:firstLine="440"/>
        <w:spacing w:after="0" w:line="272" w:lineRule="auto"/>
        <w:rPr>
          <w:sz w:val="20"/>
          <w:szCs w:val="20"/>
          <w:color w:val="auto"/>
        </w:rPr>
      </w:pPr>
      <w:r>
        <w:rPr>
          <w:rFonts w:ascii="Times New Roman" w:cs="Times New Roman" w:eastAsia="Times New Roman" w:hAnsi="Times New Roman"/>
          <w:sz w:val="17"/>
          <w:szCs w:val="17"/>
          <w:color w:val="auto"/>
        </w:rPr>
        <w:t>The Regulations on Mergers and Acquisitions of Domestic Enterprises by Foreign Investors were last amended on June 22, 2009. Foreign investors must comply with these regulations in any of the following circumstances: (i) purchasing equity interests in a domestic company or subscribing to the capital increase of a domestic company, thereby changing the nature of the domestic company into a foreign-invested enterprise;</w:t>
      </w:r>
    </w:p>
    <w:p>
      <w:pPr>
        <w:spacing w:after="0" w:line="2" w:lineRule="exact"/>
        <w:rPr>
          <w:sz w:val="20"/>
          <w:szCs w:val="20"/>
          <w:color w:val="auto"/>
        </w:rPr>
      </w:pPr>
    </w:p>
    <w:p>
      <w:pPr>
        <w:ind w:left="120" w:hanging="4"/>
        <w:spacing w:after="0" w:line="252" w:lineRule="auto"/>
        <w:tabs>
          <w:tab w:leader="none" w:pos="3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foreign-invested enterprise in China, purchasing the assets of a domestic company by agreement and operating those assets through the foreign-invested enterprise; or (iii) purchasing the assets of a domestic company by agreement, using those assets to establish a foreign-invested enterprise, and then operating those assets. According to Article 11 of the regulations, where a domestic enterprise, or a domestic natural person, through an overseas company established or controlled by it/him/her, acquires a domestic enterprise which is related to or connected with it/him/her, approval from the Ministry of Commerce is required. The regulations, among other things, further purport to require that an overseas special purpose vehicle directly or indirectly controlled by PRC domestic individuals or entities for the purpose of overseas listing obtain the approval of the CSRC prior to the listing and trading of such special purpose vehicle’s securities on an overseas stock exchange.</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Pursuant to the Negative List, if a PRC domestic company engaging in the prohibited business stipulated in the Negative List seeks an overseas offering and listing, it must obtain the approval from the competent governmental authorities. Besides, the foreign investors of the company cannot be involved in the company’s operation and management, and their shareholding percentages should be subject, mutatis mutandis, to the regulations on domestic securities investments by foreign investors. At a press conference held on January 18, 2022, the NDRC clarified that the requirement as mentioned above would only apply to PRC domestic companies’ direct overseas offerings.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the Trial Administrative Measures of Overseas Securities Offering and Listing by Domestic Companies, or the Overseas Offering and Listing Measures, and a series of guidance rules and Q&amp;As published by the CSRC in connection with the implementation of the Overseas Offering and Listing Measures, an overseas offering and listing by a PRC domestic company, either in a direct or indirect manner, has to be filed with the CSRC. Specifically, the examination and determination of an indirect offering and listing will be conducted on a substance-over-form basis. The issuer or its affiliated PRC domestic company, as the case may be, must file with the CSRC for its initial public offering, follow-on offering and other equivalent offering activities. Particularly, the issuer must submit the filing with respect to its initial public offering and listing within three business days after its initial filing of the listing application, and submit the filing with respect to its follow-on offering in the same overseas market(s) within three business days after the completion of such follow-on offering. Failure to comply with the filing requirements may result in fines to the PRC domestic companies and the controlling shareholder, and other responsible persons. The responsible persons may be prohibited from entering the securities market by the CSRC in cases of serious violations and may be held criminally liable. The Overseas Offering and Listing Measures also set forth certain regulatory red lines for overseas offerings and listings by PRC domestic enterprises.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 advised by Commerce &amp; Finance Law Offices, our PRC legal counsel, due to the fact that our ADSs have been listed on the Nasdaq Global Select Market and our ordinary shares have been listed on the Hong Kong Stock Exchange, we are deemed as an “Existing Issuer” pursuant to the Overseas Offering and Listing Measures and the implementation guidance and are not required to complete the filing procedures with the CSRC for our historical securities offering. Nevertheless, in the event that we conduct any securities offerings that will be captured by the Overseas Offering and Listing Measures in the future, we will have to complete the filing procedures with the CSRC within three business days following the closing of the securities issuance or offering on the Nasdaq Global Select Market or the Hong Kong Stock Exchange, or within three business days following the submission of an application for overseas offering and listing on any other overseas market(s).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of Other Jurisdictions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in Europe</w:t>
      </w:r>
    </w:p>
    <w:p>
      <w:pPr>
        <w:spacing w:after="0" w:line="11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the European Union and the United Kingdom, we are subject to laws and regulations regarding data privacy and protection, including the General Data Protection Regulation, known as the EU GDPR, on the protection of natural persons with regard to the processing and free movement of personal data. The EU GDPR applies directly in all European Union member states from May 25, 2018 and applies to companies with an establishment in the European Economic Area and to certain other companies not in the European Economic Area that offer or provide goods or services to individuals located in the European Economic Area or monitor individuals located in the European Economic Area. In the United Kingdom, we are subject to the United Kingdom General Data Protection Regulation and Data Protection Act 2018, collectively known as the UK GDPR. We refer to the EU GDPR and UK GDPR as the GDPR. The GDPR implements stringent operational requirements for controllers of personal data, including, for example, maintaining a record of data processing activities, expanded disclosures about how personal data is to be collected and processed, limitations on retention of personal data (including pseudonymized data), increased cybersecurity requirements, possible mandatory data breach notification requirements, a requirement for controllers to demonstrate that they have obtained a valid legal basis for certain data processing activities, complying with rights for data subjects in regard to their personal data (including data access, erasure (the right to be “forgotten”) and portability), ensuring appropriate safeguards are in place where personal data is transferred out of the European Economic Area and the United Kingdom, and complying with the principle of accountability and the obligation to demonstrate compliance through policies, procedures, training and audit. The activities of data processors are also regulated, and companies undertaking processing activities are required to offer certain guarantees in relation to the security of processing and the handling of personal data. Contracts between data controllers and data processors will also need to be updated to include certain terms prescribed by the GDPR, and negotiating these updates may not be fully successful in all cases. Failure to comply with the European Union laws, including failure under the GDPR and other laws relating to the security of personal data, may result in fines up to €20,000,000 (£17,500,000 under the UK GDPR) or up to 4% of the total worldwide annual turnover of the preceding financial year, if greater, and other administrative penalties including regulatory investigations, reputational damage, orders to cease/change our data processing activities, enforcement notices, assessment notices (for a compulsory audit), civil claims (including class actions) and, in certain EU jurisdictions, criminal liability.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June 2024, the European Union legislators formally signed the EU Artificial Intelligence Act, or the EU AI Act, which came into effect on August 1, 2024. The EU AI Act sets a comprehensive legal framework for the development, provision, marketing and use of AI in the EU market, establishing a detailed classification for AI systems through a risk-based approach. Companies that develop, provide, or use AI in the EU are subject to a series of obligations under the EU AI Act, varying based on risk levels of their AI use case, such as conformity assessments, transparency requirements, information provision, human oversight, accuracy and security. Violation of the provisions under the EU AI Act could result in fines of up to €35 million or 7% of annual worldwide turnover from the preceding financial year, whichever is higher.</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European Union, the Digital Services Act, which is known as the DSA, came into force on November 16, 2022. The act governs, among other things, potential liability for illegal products on online platforms as well as obligations around traceability of merchants/business users and requires enhanced transparency measures including in relation to any recommendation systems used to present product options to a user, including the main parameters used by such systems and any available options for recipients to modify or influence them. In particular, if an online platform presents information about products in a way that would lead an average consumer to understand the product is provided by the platform directly, rather than by a third-party merchant, the platform may be liable directly under consumer protection law. Further, the DSA contains general requirements that user interfaces may not deceive or manipulate users. Failure to comply with the DSA can result in fines of up to 6% of total annual worldwide turnover, and recipients of services have the right to seek compensation from providers in respect of damage or loss suffered due to failure by the provider to comply with the DSA.</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operations in the United Kingdom are also subject to increasing regulatory obligations, such as the Online Safety Act and the Digital Markets, Competition and Consumers Act 2024. There is a heightened risk of legal challenges or consumer backlash if regulatory frameworks are not adhered to, leading to damage to brand image and possible fines or sanctions. Increased oversight from regulatory bodies may restrict operational flexibility and innovation.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Regulations in Asia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maintain operations in a number of jurisdictions in Asia, including Singapore, South Korea, and various other jurisdictions in Southeast Asia.</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Singapore, the Personal Data Protection Act 2012, which is known as the PDPA, governs the collection, use and disclosure of the personal data of individuals by organizations, and is administered and enforced by the Personal Data Protection Commission, which is known as the PDPC. The PDPA sets out certain obligations which all organizations are required to comply with relating to the collection, use or disclosure of personal data, unless exceptions apply. Amongst other things, unless exceptions apply, the PDPA requires organizations to obtain consent from individuals, inform them of the purposes for which the organization will be collecting, using, or disclosing personal data, make reasonable security arrangements to protect the personal data in its possession or control from unauthorized access, modification, loss, or similar risks, only transfer personal data out of Singapore in accordance with prescribed requirements to ensure that the personal data is protected to a standard comparable to the protection under the PDPA, and notify the PDPC (and, unless exceptions apply, affected individuals) in the event of a notifiable data breach.</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South Korea, we are also subject to applicable privacy and data security regulations, regulations relating to the use of artificial intelligence, and regulations on e-commerce platforms. Various jurisdictions in Southeast Asia are also implementing additional regulations on privacy and data security and e-commerce platforms. For example, Vietnam adopted new regulations relating to the cross-border transfer of data in 2024, and Thailand, Indonesia, and Vietnam have each adopted filing requirements for e-commerce platforms.</w:t>
      </w:r>
    </w:p>
    <w:p>
      <w:pPr>
        <w:spacing w:after="0" w:line="81"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Organizational Structure</w:t>
      </w:r>
    </w:p>
    <w:p>
      <w:pPr>
        <w:spacing w:after="0" w:line="12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diagram illustrates our corporate structure, including our significant subsidiaries and the VIEs,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103620" cy="2957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0362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Notes:</w:t>
      </w:r>
    </w:p>
    <w:p>
      <w:pPr>
        <w:spacing w:after="0" w:line="109"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Indirectly owned through a Cayman Islands company.</w:t>
      </w:r>
    </w:p>
    <w:p>
      <w:pPr>
        <w:spacing w:after="0" w:line="109" w:lineRule="exact"/>
        <w:rPr>
          <w:rFonts w:ascii="Times New Roman" w:cs="Times New Roman" w:eastAsia="Times New Roman" w:hAnsi="Times New Roman"/>
          <w:sz w:val="14"/>
          <w:szCs w:val="14"/>
          <w:color w:val="auto"/>
        </w:rPr>
      </w:pPr>
    </w:p>
    <w:p>
      <w:pPr>
        <w:ind w:left="540" w:right="60" w:hanging="424"/>
        <w:spacing w:after="0" w:line="26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57% owners of Qunar Cayman Islands Limited are several non-U.S. investment entities, namely M Strat Holdings, L.P., Momentum Strategic Holdings, L.P., Ocean Management Limited, and Earthly Paradise Investment Fund L.P., which are consolidated by us under U.S. GAAP.</w:t>
      </w:r>
    </w:p>
    <w:p>
      <w:pPr>
        <w:spacing w:after="0" w:line="68"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Indirectly owned through Ctrip Travel Holding (Hong Kong) Limited and Ctrip.com (Hong Kong) Limited, both of which are Hong Kong companies.</w:t>
      </w:r>
    </w:p>
    <w:p>
      <w:pPr>
        <w:spacing w:after="0" w:line="10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Indirectly owned through Queen’s Road Travel Information Limited, a Hong Kong company.</w:t>
      </w:r>
    </w:p>
    <w:p>
      <w:pPr>
        <w:spacing w:after="0" w:line="10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 Sun and Maohua Sun hold 89.8% and 10.2% of the equity interest in Shanghai Ctrip Commerce Co., Ltd., respectively.</w:t>
      </w:r>
    </w:p>
    <w:p>
      <w:pPr>
        <w:spacing w:after="0" w:line="10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Hui Cao and Hui Wang hold 60% and 40% of the equity interest in Beijing Qu Na Information Technology Co., Ltd., respectively.</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and rely on dividends from our subsidiaries in China and globally and consulting and other fees paid to our subsidiaries by the VIEs in China. We conduct a majority of our business through our wholly-owned subsidiaries in China. PRC laws and regulations restrict foreign investment in certain businesses, including the value-added telecommunications industry. As a result, we conduct part of our business through a series of contractual arrangements between our PRC subsidiaries and the VIEs. As of December 31, 2025, significant VIEs and VIEs’ subsidiaries included Ctrip Commerce (VIE), Shanghai Huacheng (VIE), and Qunar Beijing (VIE). The contractual arrangements that we entered into with the VIEs may be amended and/or restated from time to time. We optimize the functions of various VIEs from time to time to avoid duplicative operations among these VIEs.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some of our employees and senior consultants are principal record owners of the VIEs. Each of them has signed an irrevocable power of attorney to appoint the primary beneficiary of the applicable VIE or its designated person, as attorney-in-fact to vote, by itself or any other person to be designated at its discretion, on all matters of the VIEs. Each power of attorney will remain effective during the existence of the applicable VIE.</w:t>
      </w:r>
    </w:p>
    <w:p>
      <w:pPr>
        <w:spacing w:after="0" w:line="81"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properties and facilities that we owned as of March 31, 2026 had over 278,000 square meters in aggregate, primarily used for our customer service centers and office premises. As of March 31, 2026, the gross floor area of our leased properties for commercial use amounted to over 710,000 square meters. These leased properties primarily relate to office space and accommodation services.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4A.</w:t>
        <w:tab/>
        <w:t>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OPERATING AND FINANCIAL REVIEW AND PROSPECTS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is based upon and should be read in conjunction with our consolidated financial statements and their related notes included in this annual report on Form 20-F. This annual report contains forward-looking statements. See “Forward-Looking Statement.”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328"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Operating Results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are a leading one-stop travel service provider globally, integrating a comprehensive suite of travel products and services and differentiated travel content. We are the go-to destination for travelers in Asia, and increasingly for travelers around the world, to explore travel and get inspired, to make informed and cost-effective travel bookings, and to enjoy hassle-free, on-the-go support and share travel experience.</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2025, we derived approximately 42% of our total revenues from our accommodation reservation, 36% from transportation ticketing, 7% from packaged tour, 5% from corporate travel, and 10% from other products and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Major Factors Affecting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Economy and travel industry trends</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As a leading travel service provider globally, our business is driven by the demand for travel services in our key markets. Demand for travel services primarily depends on the growth of the economy. Economic growth generally stimulates willingness to pay for travel services and their affordability, thus helping increase travel frequency and spending.</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also benefit from certain other key trends in the travel industry that affect how and how often users choose to purchase travel services, such as the increasing consumption potential in the rising middle class, user preference for diverse travel options, the booming demand for high-quality travel experience, and technology-driven enhancement in the travel industry supply chain.</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business and results of operations can be adversely affected by disruptions in the travel industry, such as (i) the outbreaks of pandemics, epidemics, or fear of spread of contagious diseases, (ii) geopolitical uncertainty, political unrest, or civil strife, (iii) natural disasters or poor weather conditions, such as hurricanes, earthquakes, or tsunamis, and (iv) any travel restrictions or other security procedures implemented in connection with any major events in key markets.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60"/>
          </w:cols>
          <w:pgMar w:left="320" w:top="482" w:right="5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depth and breadth of our travel offerings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results of operations depend on the effectiveness of our product and service offerings and our ability to broaden our offerings to appeal to a wider audience and fuel our GMV growth. We offer a comprehensive suite of travel products and services leveraging our network of ecosystem partners. Our relationships with our expanding pool of ecosystem partners enable us to provide a diverse selection of travel offerings from budget to premium products and services, including long-tail and customized products, to satisfy the needs of our user base. In addition, we have been upgrading our open platform that connects us with domestic and international travel partners, search engines, e-commerce platforms, and other ecosystem partners to expand our business opportunities.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financial performance is also affected by our product and service mix. Our products and services have different, sometimes contrasting, GMV contributions and take rates. For example, transportation ticketing is a relatively low take rate service, while accommodation reservation is typically a high take rate service. In addition, GMVs, take rates, and terms of travel products and services may vary depending on the specific ecosystem partners providing them. Any material changes in our product and service mix could materially affect our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strengthen our brand recognition and maintain market position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operate some well-recognized travel brands, including Ctrip, Qunar, Trip.com, and Skyscanner. Our ability to strengthen our brand recognition and maintain our market position in travel market is critical for us to build and maintain relationships with our users and ecosystem partners. We have solidified our market position over the past two decades. In order to strengthen our brand recognition and maintain our market position, we may need to increase our investments in marketing activities, product and service development, and user and ecosystem partner engagement, which may affect our operating margin.</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market position and our ability to attract new users and continue to retain and engage our existing users also depend on our ability to continue to provide users with superior experiences. For years, we have been consistently enhancing our technology, our product, service, and content offerings, and our user interfaces to offer a personalized, convenient, enjoyable, and inspirational user experience. We have also been catering to our users’ diverse needs and evolving preferences.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enhance operating efficiency</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results of operations have been, and will continue to be, affected by our ability to improve our operating efficiency, especially through investment in technology. As our business continues to scale up, it is essential to improve operating efficiency to enhance the competitiveness of our platform. For example, our AI capabilities coupled with our in-depth travel insights accumulated throughout our operating history allow us to curate suitable travel products and offer tailored suggestions to individual users, which enables significant cross-selling opportunities on our platform. In addition, we apply various AI technologies to achieve effective and precise marketing with reduced cost. In the future, we will continue to invest in technology to further enhance our operations, which may increase our capital expenditure or operating costs but should improve our operating and cost efficiency and service quality in the long run.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users generally come to our platform for travel products and services to satisfy their leisure and business trip needs. Therefore, our business is subject to seasonal fluctuations, and our revenues may vary from quarter to quarter throughout a year. In China, to date, the third quarter of each year generally contributes the highest portion of our annual net revenues primarily due to the strong demand for both leisure and business travel activities during the summer. Our future results may continue to be affected by such seasonal fluctuations.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generate our revenues primarily from the accommodation reservation and transportation ticketing businesses. The table below sets forth the revenues from our principal lines of business as a percentage of our total revenues for the periods indicated.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31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79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Accommodation reservation</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ticketing</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Packaged tours</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travel</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most circumstances, we do not take ownership of the products and services being sold. Instead, we act as an agent in substantially all of our transactions. Our risk of loss due to obligations for canceled hotel and airline ticket reservations is thus relatively remote. Accordingly, we recognize revenues primarily based on commissions earned rather than transaction value.</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PRC laws and regulations restrict foreign investment in certain businesses, including value-added telecommunications industry. As a result, we conduct part of our business through the VIEs. Historically, we generated a portion of our revenues from fees charged to these entities. See “Item 7. Major Shareholders and Related Party Transactions—B. Related Party Transactions—Arrangements with the VIEs” for a description of our relationship with these entities.</w:t>
      </w:r>
    </w:p>
    <w:p>
      <w:pPr>
        <w:spacing w:after="0" w:line="178" w:lineRule="exact"/>
        <w:rPr>
          <w:sz w:val="20"/>
          <w:szCs w:val="20"/>
          <w:color w:val="auto"/>
        </w:rPr>
      </w:pPr>
    </w:p>
    <w:p>
      <w:pPr>
        <w:jc w:val="both"/>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Accommodation Reservation</w:t>
      </w:r>
      <w:r>
        <w:rPr>
          <w:rFonts w:ascii="Times New Roman" w:cs="Times New Roman" w:eastAsia="Times New Roman" w:hAnsi="Times New Roman"/>
          <w:sz w:val="18"/>
          <w:szCs w:val="18"/>
          <w:color w:val="auto"/>
        </w:rPr>
        <w:t>. Accommodation reservation revenue constitutes a significant source of our revenues. In 2023, 2024, and 2025,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accommodation reservation revenue was RMB17.3 billion, RMB21.6 billion, and RMB26.1 billion (US$3.7 billion), representing 39%, 40%, and 42% of our total revenues, respectively.</w:t>
      </w:r>
    </w:p>
    <w:p>
      <w:pPr>
        <w:spacing w:after="0" w:line="17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generate substantially all of our accommodation reservation revenue through commissions from hotel reservation partners through our platform. We recognize revenues when the reservation becomes non-cancelable, which is the point at which we complete our performance obligation in accommodation reservation services.</w:t>
      </w:r>
    </w:p>
    <w:p>
      <w:pPr>
        <w:spacing w:after="0" w:line="174" w:lineRule="exact"/>
        <w:rPr>
          <w:sz w:val="20"/>
          <w:szCs w:val="20"/>
          <w:color w:val="auto"/>
        </w:rPr>
      </w:pPr>
    </w:p>
    <w:p>
      <w:pPr>
        <w:ind w:left="120" w:right="10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Transportation Ticketing</w:t>
      </w:r>
      <w:r>
        <w:rPr>
          <w:rFonts w:ascii="Times New Roman" w:cs="Times New Roman" w:eastAsia="Times New Roman" w:hAnsi="Times New Roman"/>
          <w:sz w:val="18"/>
          <w:szCs w:val="18"/>
          <w:color w:val="auto"/>
        </w:rPr>
        <w:t>. In 2023, 2024, and 2025, our transportation ticketing revenue was RMB18.4 billion, RMB20.3 billion,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RMB22.5 billion (US$3.2 billion), representing 41%, 38%, and 36% of our total revenues, respectively.</w:t>
      </w:r>
    </w:p>
    <w:p>
      <w:pPr>
        <w:spacing w:after="0" w:line="16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operate our transportation ticketing business primarily through our wholly-owned subsidiaries, the VIEs and VIEs’ subsidiaries, and a network of ecosystem partners. Commissions from ticketing reservations rendered are recognized when tickets are issued as this is when our performance obligation is satisfied. Revenues from other related services are recognized at the time when the services are rendered.</w:t>
      </w:r>
    </w:p>
    <w:p>
      <w:pPr>
        <w:spacing w:after="0" w:line="17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Packaged tours</w:t>
      </w:r>
      <w:r>
        <w:rPr>
          <w:rFonts w:ascii="Times New Roman" w:cs="Times New Roman" w:eastAsia="Times New Roman" w:hAnsi="Times New Roman"/>
          <w:sz w:val="18"/>
          <w:szCs w:val="18"/>
          <w:color w:val="auto"/>
        </w:rPr>
        <w:t>. In 2023, 2024, and 2025, our packaged-tour revenue was RMB3.1 billion, RMB4.3 billion, and RMB4.7 billion (US$670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We bundle the packaged-tour products and services and receive referral fees from ecosystem partners for packaged-tour products and services through our platform. Referral fees are recognized on the departure date of the packaged tours as this is when our performance obligation is satisfied.</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Travel. </w:t>
      </w:r>
      <w:r>
        <w:rPr>
          <w:rFonts w:ascii="Times New Roman" w:cs="Times New Roman" w:eastAsia="Times New Roman" w:hAnsi="Times New Roman"/>
          <w:sz w:val="18"/>
          <w:szCs w:val="18"/>
          <w:color w:val="auto"/>
        </w:rPr>
        <w:t>Our corporate travel revenue primarily includes commissions from transportation ticketing booking, accommodation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reservation, and packaged-tour services rendered to corporate clients. In 2023, 2024, and 2025, revenue from our corporate travel services was RMB2.3 billion, RMB2.5 billion, and RMB2.8 billion (US$405 million), respectively. We contract with corporate clients based on a service fee model. Travel reservations are made via online and offline services for transportation ticketing booking, accommodation reservation, and packaged-tour services. Corporate travel revenue is recognized on a net basis after the services are rendered and collections are reasonably assured.</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primarily consists of online advertising services and financial services. In 2023, 2024, and 2025, revenue from other business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RMB3.5 billion, RMB4.6 billion, and RMB6.4 billion (US$916 million), respectively. Advertising revenue is recognized ratably over the fixed term of the agreement as services are provided or upon relevant performance obligations being fulfilled through the display of the advertisements. The financial service revenue mainly represents the platform service fees from third-party financial institutions that are recognized ratably over the service period as well as the interest income from the receivables due from the users that are recognized over the credit period.</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Cost of revenues primarily consists of payroll compensation of customer service center personnel, credit card service fees, payments to travel suppliers, telecommunication expenses, direct costs of principal travel tour services, depreciation, rentals, direct costs of financial service and related expenses incurred by us that are directly attributable to our user orders and the rendering of travel related services and other businesses.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Cost of revenues as a percentage of our net revenues was 18%, 19%, and 19% in 2023, 2024, and 2025, respectively. We believe our relatively low ratio of cost of revenues to revenues is primarily due to competitive labor costs, high efficiency of our customer service system and efficiency of our enhanced website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Operating expenses primarily consist of product development expenses, sales and marketing expenses, and general and administrative expenses, all of which include share-based compensation expense. In 2025, we recorded share-based compensation expense of RMB2.3 billion (US$325 million), compared to RMB2.0 billion in 2024 and RMB1.8 billion in 2023. Share-based compensation expense is included in the same income statement category as the cash compensation paid to the recipient of the share-based award.</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Product development expenses primarily include payroll compensation of product development personnel, consulting expenses, and other expenses incurred by us that are directly attributable to developing the technologies and products for our business, such as the development of our travel supplier networks as well as service platforms. Product development expenses as a percentage of our net revenues were 27%, 25%, and 24% in 2023, 2024, and 2025, respectively.</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Sales and marketing expenses primarily include costs of payroll and related compensation for our sales and marketing personnel, advertising expenses, and other related marketing and promotion expenses. Sales and marketing expenses as a percentage of our net revenues were 21%, 22%, and 24% in 2023, 2024, and 2025, respectively.</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include costs of payroll and related compensation and travel expenses for our administrative staff, credit losses, professional service fees, and administrative office expenses. General and administrative expenses as a percentage of our net revenues were 8%, 8%, and 7% in 2023, 2024, and 2025,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effective income tax rate was 16%, 15%, and 15% for 2023, 2024, and 2025, respectively.</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various rates of income tax under different jurisdictions. The following summarizes major factors affecting our applicable tax rates in the Cayman Islands, Singapore, Hong Kong, and the Chinese mainland: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Cayman Islands currently levies no taxes on corporations based upon profits, income, gains, or appreciation.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Singapore are subject to Singapore tax law at the corporate tax rate of 17% on the assessable income arising in Singapore during the tax year.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first HK$2 million of profits of the entities incorporated in Hong Kong is taxed at 8.25%, and the remaining profits above HK$2 million are taxed at 16.5%. However, for two or more connected entities, only one of them may elect the two-tiered profits tax rates regime.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Chinese Mainland</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the PRC Enterprise Income Tax Law, companies established in the Chinese mainland are generally subject to enterprise income tax at a statutory rate of 25%. The 25% rate applies to most of our subsidiaries and the VIEs established in the Chinese mainland. Eighteen of our PRC subsidiaries and three of the VIEs benefit from a preferential tax rate of 15% by either qualifying as high and new technology enterprises or qualifying under the Catalog of Encouraged Industries in Western Regions under the PRC Enterprise Income Tax Law.</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PRC tax authorities determine that our Cayman Islands holding company is a “resident enterprise” for PRC enterprise income tax purposes, a withholding tax of 10% may be imposed on dividends that non-PRC resident enterprise holders of our ordinary shares or ADSs receive from us and on gains realized on their sale or other disposition of ordinary shares or ADSs, if such income is considered income derived from within the Chinese mainland.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prepare financial statements in conformity with U.S. GAAP, which requires us to make estimates and assumptions that affect the reported amounts of assets and liabilities, disclosures of contingent assets and liabilities on the date of the balance sheet and the reported amounts of revenues and expenses during the financial reporting period. We continually evaluate these estimates and assumptions based on the most recently available information, our own historical experiences and various other assumptions that are believed to be reasonable under the circumstances, which together form the basis for making judgments about the carrying values of assets and liabilities that are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management’s judgment.</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revenues in accordance with ASC 606, “Revenue from Contracts with Customers.” under which our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substantially reported on a net basis as the travel supplier is primarily responsible for providing the underlying travel services and we do not control the service provided by the travel supplier to the traveler. Revenues are recognized at gross amounts for merchant business where we undertake substantive inventory risks by pre-purchasing inventories. Revenue from accommodation reservation services, transportation ticketing services, packaged tours, and corporate travel is substantially recognized at a point of time when the performance obligations are satisfied. Other comprises primarily of online advertising services and financial services, which are recognized ratably over the time or upon relevant performance obligations being fulfilled.</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Business Combination. </w:t>
      </w:r>
      <w:r>
        <w:rPr>
          <w:rFonts w:ascii="Times New Roman" w:cs="Times New Roman" w:eastAsia="Times New Roman" w:hAnsi="Times New Roman"/>
          <w:sz w:val="18"/>
          <w:szCs w:val="18"/>
          <w:color w:val="auto"/>
        </w:rPr>
        <w:t>We apply ASC 805 “Business Combination,” which requires that all business combinations not involving entities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under common control be accounted for under the acquisition method. The cost of an acquisition is measured as the aggregate of fair values at the date of exchange of assets given, liabilities incurred and equity instruments issued.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cost of acquisition, fair value of non-controlling interests and acquisition date fair value of any previously held equity interest in an acquiree over (ii) the fair value of identifiable net assets of an acquiree is recorded as goodwill. If the cost of acquisition is less than the fair value of the net assets of a subsidiary acquired, the difference is recognized directly in the consolidated statements of income and comprehensive income.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82"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determination and allocation of fair values to the identifiable assets acquired and liabilities assumed is based on various assumptions and valuation methodologies requiring considerable management judgment. The most significant variables in these valuations are discount rates, terminal values, growth rates, the number of years on which to base the cash flow projections, as well as the assumptions and estimates used to determine the cash inflows and outflows.</w:t>
      </w:r>
    </w:p>
    <w:p>
      <w:pPr>
        <w:spacing w:after="0" w:line="178"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of Available-for-sale Debt Investments. </w:t>
      </w:r>
      <w:r>
        <w:rPr>
          <w:rFonts w:ascii="Times New Roman" w:cs="Times New Roman" w:eastAsia="Times New Roman" w:hAnsi="Times New Roman"/>
          <w:sz w:val="18"/>
          <w:szCs w:val="18"/>
          <w:color w:val="auto"/>
        </w:rPr>
        <w:t>We had available-for-sale debt investments as set out in Note 7 to our audited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included elsewhere in this annual report. We report available-for-sale debt investments at fair value at each balance sheet date with the aggregate unrealized gains and losses, net of tax, reflected in “Accumulated other comprehensive loss” in the consolidated balance sheets.</w:t>
      </w:r>
    </w:p>
    <w:p>
      <w:pPr>
        <w:spacing w:after="0" w:line="175"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Management determined the fair value of these Level 3 Investments based on valuation models using various unobservable inputs. Valuation techniques are reviewed by an independent and recognized international business valuer before being implemented for valuation and are calibrated to ensure that outputs reflect market conditions. Valuation models established with the assistance of the valuer make use of market inputs and rely as little as possible on our own specific data. However, it should be noted that some inputs, such as revenue growth rate and lack of marketability discounts, require management estimates. Management estimates and assumptions are reviewed periodically and are adjusted if necessary. Should any of the estimates and assumptions change significantly, it may lead to a material change in the fair value of available-for-sale debt investments. The fair values of the available-for-sale debt investments are set out in Note 7 to the audited consolidated financial statements included elsewhere in this annual report.</w:t>
      </w:r>
    </w:p>
    <w:p>
      <w:pPr>
        <w:spacing w:after="0" w:line="17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relation to the valuation of the available-for-sale debt investments, we, based on the professional advice received, adopted the following procedures: (i) obtained and reviewed the capability statements and credentials provided by Avista, based on which, we believe that Avista has significant experience and adequate expertise in valuation services and is therefore qualified to assist us in evaluating the appropriateness of the valuations; (ii) provided the independent valuers with necessary financial and non-financial information as required so as to enable the valuers to perform the pertinent valuation assessment. For the forecast of operation results and cash flow performances, we take a prudently reasonable approach as to determine the significant estimates, including the revenue growth rate, and make necessary adjustments on periodical basis to reflect the actual development of the underlying business; (iii) keep frequent discussion with valuers and review their valuation work papers and reports, during which, we carefully understand and evaluate the appropriateness and reasonableness of the overall valuation methodologies, computation basis, significant assumptions and estimates therein, including weighted average cost of capital, lack of marketability discounts, expected volatilities and probabilities in equity allocation; and (iv) review the results of the fair value assessments to understand the reasonableness of the changes of the fair values of the investments. Based on the above procedures, we are of the view that the valuation analysis performed by the valuer is fair and reasonable, and the financial statements of our group are properly prepared.</w:t>
      </w:r>
    </w:p>
    <w:p>
      <w:pPr>
        <w:spacing w:after="0" w:line="19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Details of the fair value measurement of available-for-sale debt investments, particularly the fair value hierarchy, the valuation techniques and key inputs, including significant unobservable inputs, and the relationship of unobservable inputs to fair value are disclosed in Note 8 of the audited consolidated financial statements included elsewhere in this annual report.</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w:t>
      </w:r>
      <w:r>
        <w:rPr>
          <w:rFonts w:ascii="Times New Roman" w:cs="Times New Roman" w:eastAsia="Times New Roman" w:hAnsi="Times New Roman"/>
          <w:sz w:val="18"/>
          <w:szCs w:val="18"/>
          <w:color w:val="auto"/>
        </w:rPr>
        <w:t>Our investments include equity method investments, equity securities without readily determinable fair values, equity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determinable fair values, held to maturity debt securities, and available-for-sale debt securities. We apply the equity method in accounting for the investments in entities in which we have the ability to exercise significant influence but do not have control and the investments are in either common stock or in-substance common stock. Unrealized gains on transactions between an affiliated entity and us are eliminated to the extent of our interest in the affiliated entity; unrealized losses are also eliminated unless the transaction provides evidence of an impairment of the asset transferred. Equity securities without readily determinable fair values are measured and recorded using a measurement alternative that measures the securities at cost minus impairment, if any, plus or minus changes resulting from qualifying observable price changes. Equity securities with readily determinable fair values are measured and recorded at fair value on a recurring basis with changes in fair value, whether realized or unrealized, recorded through the income statement. Debt securities that we have positive intent and ability to hold to maturity are classified as held to maturity debt securities and are stated at amortized cost.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82"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have classified our investments in debt securities, other than the held to maturity debt securities, as available-for-sale securities. Available-for-sale debt securities are reported at estimated fair value with the aggregate unrealized gains and losses, net of tax, reflected in “Accumulated other comprehensive loss” in the consolidated balance sheets. If the amortized cost basis of an available-for-sale security exceeds its fair value and if we have the intention to sell the security or it is more likely than not that we will be required to sell the security before recovery of the amortized cost basis, an impairment is recognized in the consolidated statements of income. If we do not have the intention to sell the security and it is not more likely than not that we will be required to sell the security before recovery of the amortized cost basis and we determine that the decline in fair value below the amortized cost basis of an available-for-sale security is entirely or partially due to credit-related factors, the credit loss is measured and recognized as an allowance for credit losses in the consolidated statements of income. The allowance is measured as the amount by which the debt security’s amortized cost basis exceeds our best estimate of the present value of cash flows expected to be collected.</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monitor our investments for other-than-temporary impairment by considering factors including, but not limited to, current economic and market conditions, the operating performance of the companies including current earnings trends and other company-specific information. When indicators of impairment exist, we also prepare quantitative measurements of the fair value of our investments using the income or market approach, which requires the use of unobservable inputs, such as revenue growth rate, weighted average cost of capital, selection of comparable companies and multiples, expected volatility, discount for lack of marketability and probability of exit events as it relates to liquidation and redemption preferences when applicable. The fair value information is sensitive to changes in the unobservable inputs used to determine fair value and such changes could result in the fair value at the reporting date being different from the fair value presented.</w:t>
      </w:r>
    </w:p>
    <w:p>
      <w:pPr>
        <w:spacing w:after="0" w:line="18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i w:val="1"/>
          <w:iCs w:val="1"/>
          <w:color w:val="auto"/>
        </w:rPr>
        <w:t>Goodwill, Intangible Assets and Long-Lived Assets</w:t>
      </w:r>
      <w:r>
        <w:rPr>
          <w:rFonts w:ascii="Times New Roman" w:cs="Times New Roman" w:eastAsia="Times New Roman" w:hAnsi="Times New Roman"/>
          <w:sz w:val="18"/>
          <w:szCs w:val="18"/>
          <w:color w:val="auto"/>
        </w:rPr>
        <w:t>. Goodwill represents the excess of the purchase price over the fair value of the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acquired as a result of our acquisitions of interests in our subsidiaries and the VIEs. Goodwill is not amortized but is reviewed at least annually for impairment or earlier. We first assess qualitative factors to determine whether it is necessary to perform the quantitative goodwill impairment test, by taking into consideration macroeconomics, overall financial performance, industry and market conditions and the share price of our company. If determined to be necessary, the quantitative impairment test should be used to identify goodwill impairment. Based on the qualitative assessment, if it is more likely than not that the fair value of a reporting unit is less than the carrying amount, the quantitative impairment test is performed. For the quantitative assessment of goodwill impairment, we compare the fair value of the unit to its carrying amount, including goodwill. If the fair value of the reporting unit exceeds its carrying amount, goodwill is not considered to be impaired. If the carrying amount of a reporting unit exceeds its fair value, the amount by which the carrying amount exceeds the reporting unit’s fair value is recognized as impairment.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 We perform the annual goodwill impairment test as of December 31, or when an event occurs or circumstances change that would more likely than not reduce the fair value of a reporting unit below its carrying amount. As of December 31, 2025, we qualitatively assessed various events and circumstances, including macroeconomics conditions, industry and market considerations, our overall financial performance as well as the share price, and concluded by weighing all these factors in their entirety that it was not more likely than not the fair value of our single reporting unit was lower than its carrying value. There was no impairment of goodwill during the years ended December 31, 2023, 2024, and 2025. Separately identifiable intangible assets that have determinable lives continue to be amortized and consist primarily of non-compete agreements, customer list, supplier relationship, technology, business relationship and payment business license as of December 31, 2024 and 2025. We amortize intangible assets on a straight-line basis over their estimated useful lives, which are 2 to 20 years. The estimated life of amortized intangibles is reassessed if circumstances occur that indicate the life has changed. Other intangible assets that have indefinite useful life primarily include trademark and domain names. We evaluate indefinite-lived intangible assets for impairment on an annual basis as of December 31, or an interim basis if events or other circumstances suggest that the related fair value is below carrying value. An assessment is made on each December 31 as well to determine whether events and circumstances continue to support an indefinite useful life. Judgment in estimating the fair value of these intangible assets includes estimating future cash flows, determining appropriate discount rates and making other assumptions. Changes in these estimates and assumptions could materially affect the determination of fair value for each asset group. Long-lived assets (including intangibles with definite lives) are reviewed for impairment whenever events or changes in circumstances indicate that the carrying amount of an asset may not be recoverable. Reviews are performed to determine whether the carrying value of an asset group is impaired, based on a comparison to undiscounted expected future cash flows. If this comparison indicates that there is impairment, we recognize impairment of long-lived assets to the extent the carrying amount of such assets exceeds the fair value. In 2023, 2024, and 2025, we did not recognize any impairment charges for goodwill, intangible assets or long-lived assets. If different judgments or estimates had been utilized, however, material differences could have resulted in the amount and timing of the impairment charge.</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We follow ASC 718, “Stock Compensation,” to account for the share-based payments. We recognize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net of an estimated forfeiture rate and therefore only recognize compensation cost for those shares expected to vest over the service period of the award. We applied the Black-Scholes valuation model in determining the fair value of options granted. Risk-free interest rates are based on US Treasury yield for the terms consistent with the expected life of the award at the time of grant. Expected life is based on historical exercise patterns. Expected dividend yield is determined in view of our historical dividend payout rate and future business plan. We estimate expected volatility at the date of grant based on historical volatilities. We recognize compensation expense on all share-based awards on a straight-line basis over the requisite service period. Forfeiture rate is estimated based on historical forfeiture patterns and adjusted to reflect future change in circumstances and facts, if any. If actual forfeitures differ from those estimates, we may need to revise those estimates used in subsequent periods. If the fair value of the underlying equity and any of the assumptions used in the Black-Scholes model change significantly, share-based compensation expense for future awards may differ materially compared with the awards granted previously.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calculate incremental compensation cost of a modification as the excess of the fair value of the modified option over the fair value of the original option immediately before its terms are modified, measured based on the share price and other pertinent factors at the modification date. For vested options, we would recognize incremental compensation cost in the period the modification occurs and for unvested options, we would recognize, over the remaining requisite service period, the sum of the incremental compensation cost and the remaining unrecognized compensation cost for the original award on the modification date.</w:t>
      </w:r>
    </w:p>
    <w:p>
      <w:pPr>
        <w:spacing w:after="0" w:line="18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Deferred Tax Valuation Allowances</w:t>
      </w:r>
      <w:r>
        <w:rPr>
          <w:rFonts w:ascii="Times New Roman" w:cs="Times New Roman" w:eastAsia="Times New Roman" w:hAnsi="Times New Roman"/>
          <w:sz w:val="18"/>
          <w:szCs w:val="18"/>
          <w:color w:val="auto"/>
        </w:rPr>
        <w:t>. We provide a valuation allowance on our deferred tax assets to the extent we consider it to be more likely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not that we will be unable to realize all or part of such assets. In assessing the realizability of deferred tax assets, we generally consider cumulative pre-tax losses for recent years to be a significant negative indicator regarding future profitability. We also consider the strength and trend of earnings, as well as other relevant factors. Our future realization of our deferred tax assets also depends on certain other factors, including our ability to generate taxable income within the period during which temporary differences reverse or before our tax loss carry-forwards expire and the outlook for the economy and our industry. We consider these factors at each balance sheet date and determine whether valuation allowances are necessary. Changes in these factors and assumptions could materially affect the valuation allowance on our deferred tax assets. As of December 31, 2023, 2024, and 2025, we recorded deferred tax assets, net of valuation allowances, of RMB2.6 billion, RMB3.3 billion, and RMB2.8 billion (US$394 million), respectively. If, however, unexpected events occur in the future that would prevent us from realizing all or a portion of our net deferred tax assets, an adjustment would result in a charge to income in the period in which such determination was made. As of December 31, 2023, 2024, and 2025, a valuation allowance of RMB922 million, RMB712 million, and RMB876 million (US$125 million), respectively, was provided primarily for net operating losses where it is more likely than not that the deferred tax assets resulting from such losses of certain subsidiaries will not be realized. Hence, we recorded valuation allowance against our gross deferred tax assets in order to reduce the deferred tax assets to the amount that is more likely than not to be realized.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operations for the periods indicated both in amount and as a percentage of total revenues.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12"/>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2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1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for percentages)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Accommodation reservation</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17,257</w:t>
            </w:r>
          </w:p>
        </w:tc>
        <w:tc>
          <w:tcPr>
            <w:tcW w:w="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21,612</w:t>
            </w:r>
          </w:p>
        </w:tc>
        <w:tc>
          <w:tcPr>
            <w:tcW w:w="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gridSpan w:val="5"/>
          </w:tcPr>
          <w:p>
            <w:pPr>
              <w:jc w:val="right"/>
              <w:ind w:right="88"/>
              <w:spacing w:after="0"/>
              <w:rPr>
                <w:sz w:val="20"/>
                <w:szCs w:val="20"/>
                <w:color w:val="auto"/>
              </w:rPr>
            </w:pPr>
            <w:r>
              <w:rPr>
                <w:rFonts w:ascii="Times New Roman" w:cs="Times New Roman" w:eastAsia="Times New Roman" w:hAnsi="Times New Roman"/>
                <w:sz w:val="18"/>
                <w:szCs w:val="18"/>
                <w:color w:val="auto"/>
              </w:rPr>
              <w:t>26,100</w:t>
            </w:r>
          </w:p>
        </w:tc>
        <w:tc>
          <w:tcPr>
            <w:tcW w:w="1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8"/>
              </w:rPr>
              <w:t>3,732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ticketing</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18,443</w:t>
            </w:r>
          </w:p>
        </w:tc>
        <w:tc>
          <w:tcPr>
            <w:tcW w:w="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20,301</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gridSpan w:val="5"/>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22,489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3,216</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Packaged tours</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3,140</w:t>
            </w:r>
          </w:p>
        </w:tc>
        <w:tc>
          <w:tcPr>
            <w:tcW w:w="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4,336</w:t>
            </w:r>
          </w:p>
        </w:tc>
        <w:tc>
          <w:tcPr>
            <w:tcW w:w="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98"/>
              </w:rPr>
              <w:t>4,688</w:t>
            </w:r>
          </w:p>
        </w:tc>
        <w:tc>
          <w:tcPr>
            <w:tcW w:w="1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travel</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2,254</w:t>
            </w:r>
          </w:p>
        </w:tc>
        <w:tc>
          <w:tcPr>
            <w:tcW w:w="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2,502</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8"/>
              </w:rPr>
              <w:t>2,829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405</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3,468</w:t>
            </w:r>
          </w:p>
        </w:tc>
        <w:tc>
          <w:tcPr>
            <w:tcW w:w="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4,626</w:t>
            </w:r>
          </w:p>
        </w:tc>
        <w:tc>
          <w:tcPr>
            <w:tcW w:w="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98"/>
              </w:rPr>
              <w:t>6,404</w:t>
            </w:r>
          </w:p>
        </w:tc>
        <w:tc>
          <w:tcPr>
            <w:tcW w:w="1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916</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44,562</w:t>
            </w:r>
          </w:p>
        </w:tc>
        <w:tc>
          <w:tcPr>
            <w:tcW w:w="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53,377</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gridSpan w:val="5"/>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62,510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8,939</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Sales tax and surcharges</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44,510</w:t>
            </w:r>
          </w:p>
        </w:tc>
        <w:tc>
          <w:tcPr>
            <w:tcW w:w="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53,294</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gridSpan w:val="5"/>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62,409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8,925</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(8,121)</w:t>
            </w:r>
          </w:p>
        </w:tc>
        <w:tc>
          <w:tcPr>
            <w:tcW w:w="5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(9,990)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gridSpan w:val="5"/>
          </w:tcPr>
          <w:p>
            <w:pPr>
              <w:jc w:val="right"/>
              <w:ind w:right="28"/>
              <w:spacing w:after="0"/>
              <w:rPr>
                <w:sz w:val="20"/>
                <w:szCs w:val="20"/>
                <w:color w:val="auto"/>
              </w:rPr>
            </w:pPr>
            <w:r>
              <w:rPr>
                <w:rFonts w:ascii="Times New Roman" w:cs="Times New Roman" w:eastAsia="Times New Roman" w:hAnsi="Times New Roman"/>
                <w:sz w:val="18"/>
                <w:szCs w:val="18"/>
                <w:color w:val="auto"/>
              </w:rPr>
              <w:t>(12,122)</w:t>
            </w:r>
          </w:p>
        </w:tc>
        <w:tc>
          <w:tcPr>
            <w:tcW w:w="8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(1,733)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36,389</w:t>
            </w:r>
          </w:p>
        </w:tc>
        <w:tc>
          <w:tcPr>
            <w:tcW w:w="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43,304</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880" w:type="dxa"/>
            <w:vAlign w:val="bottom"/>
            <w:gridSpan w:val="5"/>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50,287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7,192</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Product development</w:t>
            </w:r>
            <w:r>
              <w:rPr>
                <w:rFonts w:ascii="Times New Roman" w:cs="Times New Roman" w:eastAsia="Times New Roman" w:hAnsi="Times New Roman"/>
                <w:sz w:val="25"/>
                <w:szCs w:val="25"/>
                <w:color w:val="auto"/>
                <w:vertAlign w:val="superscript"/>
              </w:rPr>
              <w:t>(1)</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(12,120)</w:t>
            </w:r>
          </w:p>
        </w:tc>
        <w:tc>
          <w:tcPr>
            <w:tcW w:w="5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(13,139)</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(15,136)</w:t>
            </w:r>
          </w:p>
        </w:tc>
        <w:tc>
          <w:tcPr>
            <w:tcW w:w="8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(2,164)</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5"/>
                <w:szCs w:val="25"/>
                <w:color w:val="auto"/>
                <w:vertAlign w:val="superscript"/>
              </w:rPr>
              <w:t>(1)</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(9,202)</w:t>
            </w:r>
          </w:p>
        </w:tc>
        <w:tc>
          <w:tcPr>
            <w:tcW w:w="5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(11,902)</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5"/>
          </w:tcPr>
          <w:p>
            <w:pPr>
              <w:jc w:val="right"/>
              <w:ind w:right="28"/>
              <w:spacing w:after="0"/>
              <w:rPr>
                <w:sz w:val="20"/>
                <w:szCs w:val="20"/>
                <w:color w:val="auto"/>
              </w:rPr>
            </w:pPr>
            <w:r>
              <w:rPr>
                <w:rFonts w:ascii="Times New Roman" w:cs="Times New Roman" w:eastAsia="Times New Roman" w:hAnsi="Times New Roman"/>
                <w:sz w:val="18"/>
                <w:szCs w:val="18"/>
                <w:color w:val="auto"/>
              </w:rPr>
              <w:t>(14,904)</w:t>
            </w:r>
          </w:p>
        </w:tc>
        <w:tc>
          <w:tcPr>
            <w:tcW w:w="8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(2,131)</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5"/>
                <w:szCs w:val="25"/>
                <w:color w:val="auto"/>
                <w:vertAlign w:val="superscript"/>
              </w:rPr>
              <w:t>(1)</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(3,743)</w:t>
            </w:r>
          </w:p>
        </w:tc>
        <w:tc>
          <w:tcPr>
            <w:tcW w:w="5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(4,086)</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(4,474)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(640)</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(25,065)</w:t>
            </w:r>
          </w:p>
        </w:tc>
        <w:tc>
          <w:tcPr>
            <w:tcW w:w="5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(56)</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(29,127)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880" w:type="dxa"/>
            <w:vAlign w:val="bottom"/>
            <w:gridSpan w:val="5"/>
          </w:tcPr>
          <w:p>
            <w:pPr>
              <w:jc w:val="right"/>
              <w:ind w:right="28"/>
              <w:spacing w:after="0"/>
              <w:rPr>
                <w:sz w:val="20"/>
                <w:szCs w:val="20"/>
                <w:color w:val="auto"/>
              </w:rPr>
            </w:pPr>
            <w:r>
              <w:rPr>
                <w:rFonts w:ascii="Times New Roman" w:cs="Times New Roman" w:eastAsia="Times New Roman" w:hAnsi="Times New Roman"/>
                <w:sz w:val="18"/>
                <w:szCs w:val="18"/>
                <w:color w:val="auto"/>
              </w:rPr>
              <w:t>(34,514)</w:t>
            </w:r>
          </w:p>
        </w:tc>
        <w:tc>
          <w:tcPr>
            <w:tcW w:w="8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(4,935)</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11,324</w:t>
            </w:r>
          </w:p>
        </w:tc>
        <w:tc>
          <w:tcPr>
            <w:tcW w:w="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14,177</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880" w:type="dxa"/>
            <w:vAlign w:val="bottom"/>
            <w:gridSpan w:val="5"/>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15,773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2,257</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2,090</w:t>
            </w:r>
          </w:p>
        </w:tc>
        <w:tc>
          <w:tcPr>
            <w:tcW w:w="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2,341</w:t>
            </w:r>
          </w:p>
        </w:tc>
        <w:tc>
          <w:tcPr>
            <w:tcW w:w="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98"/>
              </w:rPr>
              <w:t>2,603</w:t>
            </w:r>
          </w:p>
        </w:tc>
        <w:tc>
          <w:tcPr>
            <w:tcW w:w="1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(2,067)</w:t>
            </w:r>
          </w:p>
        </w:tc>
        <w:tc>
          <w:tcPr>
            <w:tcW w:w="5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(1,735)</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(121)</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(expense)/income</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(667)</w:t>
            </w:r>
          </w:p>
        </w:tc>
        <w:tc>
          <w:tcPr>
            <w:tcW w:w="5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2,220</w:t>
            </w:r>
          </w:p>
        </w:tc>
        <w:tc>
          <w:tcPr>
            <w:tcW w:w="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gridSpan w:val="5"/>
          </w:tcPr>
          <w:p>
            <w:pPr>
              <w:jc w:val="right"/>
              <w:ind w:right="88"/>
              <w:spacing w:after="0"/>
              <w:rPr>
                <w:sz w:val="20"/>
                <w:szCs w:val="20"/>
                <w:color w:val="auto"/>
              </w:rPr>
            </w:pPr>
            <w:r>
              <w:rPr>
                <w:rFonts w:ascii="Times New Roman" w:cs="Times New Roman" w:eastAsia="Times New Roman" w:hAnsi="Times New Roman"/>
                <w:sz w:val="18"/>
                <w:szCs w:val="18"/>
                <w:color w:val="auto"/>
              </w:rPr>
              <w:t>21,321</w:t>
            </w:r>
          </w:p>
        </w:tc>
        <w:tc>
          <w:tcPr>
            <w:tcW w:w="1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8"/>
              </w:rPr>
              <w:t>3,049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 and equity in income of affiliates</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10,680</w:t>
            </w:r>
          </w:p>
        </w:tc>
        <w:tc>
          <w:tcPr>
            <w:tcW w:w="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17,003</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gridSpan w:val="5"/>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38,848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5,557</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(1,750)</w:t>
            </w:r>
          </w:p>
        </w:tc>
        <w:tc>
          <w:tcPr>
            <w:tcW w:w="5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(2,604)</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5"/>
          </w:tcPr>
          <w:p>
            <w:pPr>
              <w:jc w:val="right"/>
              <w:ind w:right="28"/>
              <w:spacing w:after="0"/>
              <w:rPr>
                <w:sz w:val="20"/>
                <w:szCs w:val="20"/>
                <w:color w:val="auto"/>
              </w:rPr>
            </w:pPr>
            <w:r>
              <w:rPr>
                <w:rFonts w:ascii="Times New Roman" w:cs="Times New Roman" w:eastAsia="Times New Roman" w:hAnsi="Times New Roman"/>
                <w:sz w:val="18"/>
                <w:szCs w:val="18"/>
                <w:color w:val="auto"/>
              </w:rPr>
              <w:t>(5,815)</w:t>
            </w:r>
          </w:p>
        </w:tc>
        <w:tc>
          <w:tcPr>
            <w:tcW w:w="1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(832)</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of affiliates</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1,072</w:t>
            </w:r>
          </w:p>
        </w:tc>
        <w:tc>
          <w:tcPr>
            <w:tcW w:w="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2,828</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10,002</w:t>
            </w:r>
          </w:p>
        </w:tc>
        <w:tc>
          <w:tcPr>
            <w:tcW w:w="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17,227</w:t>
            </w:r>
          </w:p>
        </w:tc>
        <w:tc>
          <w:tcPr>
            <w:tcW w:w="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gridSpan w:val="5"/>
          </w:tcPr>
          <w:p>
            <w:pPr>
              <w:jc w:val="right"/>
              <w:ind w:right="88"/>
              <w:spacing w:after="0"/>
              <w:rPr>
                <w:sz w:val="20"/>
                <w:szCs w:val="20"/>
                <w:color w:val="auto"/>
              </w:rPr>
            </w:pPr>
            <w:r>
              <w:rPr>
                <w:rFonts w:ascii="Times New Roman" w:cs="Times New Roman" w:eastAsia="Times New Roman" w:hAnsi="Times New Roman"/>
                <w:sz w:val="18"/>
                <w:szCs w:val="18"/>
                <w:color w:val="auto"/>
              </w:rPr>
              <w:t>33,386</w:t>
            </w:r>
          </w:p>
        </w:tc>
        <w:tc>
          <w:tcPr>
            <w:tcW w:w="1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8"/>
              </w:rPr>
              <w:t>4,775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r>
      <w:tr>
        <w:trPr>
          <w:trHeight w:val="198"/>
        </w:trPr>
        <w:tc>
          <w:tcPr>
            <w:tcW w:w="6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 interests and mezzanine classified</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(84)</w:t>
            </w:r>
          </w:p>
        </w:tc>
        <w:tc>
          <w:tcPr>
            <w:tcW w:w="5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to redemption value of redeemable non-controlling interests</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Trip.com Group Limited</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9,918</w:t>
            </w:r>
          </w:p>
        </w:tc>
        <w:tc>
          <w:tcPr>
            <w:tcW w:w="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17,067</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gridSpan w:val="5"/>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33,294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4,762</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r>
      <w:tr>
        <w:trPr>
          <w:trHeight w:val="135"/>
        </w:trPr>
        <w:tc>
          <w:tcPr>
            <w:tcW w:w="1220" w:type="dxa"/>
            <w:vAlign w:val="bottom"/>
            <w:tcBorders>
              <w:bottom w:val="single" w:sz="8" w:color="auto"/>
            </w:tcBorders>
          </w:tcPr>
          <w:p>
            <w:pPr>
              <w:spacing w:after="0"/>
              <w:rPr>
                <w:sz w:val="11"/>
                <w:szCs w:val="11"/>
                <w:color w:val="auto"/>
              </w:rPr>
            </w:pPr>
          </w:p>
        </w:tc>
        <w:tc>
          <w:tcPr>
            <w:tcW w:w="5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0"/>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70"/>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(1)Share-based compensation was included in the associated operating expense categories as follows:</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375"/>
        </w:trPr>
        <w:tc>
          <w:tcPr>
            <w:tcW w:w="1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2"/>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12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gridSpan w:val="4"/>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12"/>
          </w:tcPr>
          <w:p>
            <w:pPr>
              <w:jc w:val="center"/>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for percentages)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8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8"/>
                <w:szCs w:val="18"/>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bl>
    <w:p>
      <w:pPr>
        <w:spacing w:after="0" w:line="198"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discrepancies in the above table between the amounts or percentages identified as total amounts or percentages and the sum of the amounts or percentages listed therein are due to rounding.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compared to 2024</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Total revenues increased by 17% to RMB62.5 billion (US$8.9 billion) in 2025 from RMB53.4 billion in 2024, primarily driven by resilient travel demand throughout the year.</w:t>
      </w:r>
    </w:p>
    <w:p>
      <w:pPr>
        <w:spacing w:after="0" w:line="160"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Accommodation Reservation</w:t>
      </w:r>
      <w:r>
        <w:rPr>
          <w:rFonts w:ascii="Times New Roman" w:cs="Times New Roman" w:eastAsia="Times New Roman" w:hAnsi="Times New Roman"/>
          <w:sz w:val="18"/>
          <w:szCs w:val="18"/>
          <w:color w:val="auto"/>
        </w:rPr>
        <w:t>. Accommodation reservation revenue increased by 21% to RMB26.1 billion (US$3.7 billion) in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RMB21.6 billion in 2024. This was in line with the 17% increase in accommodation reservation GMV, primarily driven by solid demand for outbound travel and international hotel bookings.</w:t>
      </w:r>
    </w:p>
    <w:p>
      <w:pPr>
        <w:spacing w:after="0" w:line="17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Transportation Ticketing</w:t>
      </w:r>
      <w:r>
        <w:rPr>
          <w:rFonts w:ascii="Times New Roman" w:cs="Times New Roman" w:eastAsia="Times New Roman" w:hAnsi="Times New Roman"/>
          <w:sz w:val="18"/>
          <w:szCs w:val="18"/>
          <w:color w:val="auto"/>
        </w:rPr>
        <w:t>. Transportation ticketing revenue increased by 11% to RMB22.5 billion (US$3.2 billion) in 2025 from RMB20.3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This was in line with the 6% increase in transportation ticketing GMV, primarily driven by the growth in international air bookings.</w:t>
      </w:r>
    </w:p>
    <w:p>
      <w:pPr>
        <w:spacing w:after="0" w:line="158"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Packaged Tours</w:t>
      </w:r>
      <w:r>
        <w:rPr>
          <w:rFonts w:ascii="Times New Roman" w:cs="Times New Roman" w:eastAsia="Times New Roman" w:hAnsi="Times New Roman"/>
          <w:sz w:val="18"/>
          <w:szCs w:val="18"/>
          <w:color w:val="auto"/>
        </w:rPr>
        <w:t>. Packaged tours revenue increased by 8% to RMB4.7 billion (US$670 million) in 2025 from RMB4.3 billion in 2024,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expansion of our international offerings.</w:t>
      </w:r>
    </w:p>
    <w:p>
      <w:pPr>
        <w:spacing w:after="0" w:line="158"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Travel. </w:t>
      </w:r>
      <w:r>
        <w:rPr>
          <w:rFonts w:ascii="Times New Roman" w:cs="Times New Roman" w:eastAsia="Times New Roman" w:hAnsi="Times New Roman"/>
          <w:sz w:val="18"/>
          <w:szCs w:val="18"/>
          <w:color w:val="auto"/>
        </w:rPr>
        <w:t>Corporate travel revenue increased by 13% to RMB2.8 billion (US$405 million) in 2025 from RMB2.5 billion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more companies adopting our managed corporate travel services.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Other revenues increased to RMB6.4 billion (US$916 million) in 2025 from RMB4.6 billion in 2024.</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Cost of revenues increased by 21% to RMB12.1 billion (US$1.7 billion) in 2025 from RMB10.0 billion in 2024, which was in line with the increase in our total revenues.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Operating expenses include product development expenses, sales and marketing expenses, and general and administrative expenses.</w:t>
      </w:r>
    </w:p>
    <w:p>
      <w:pPr>
        <w:spacing w:after="0" w:line="223"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by 15% to RMB15.1 billion (US$2.2 billion) in 2025 from RMB13.1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an increase in product development personnel related expenses.</w:t>
      </w:r>
    </w:p>
    <w:p>
      <w:pPr>
        <w:spacing w:after="0" w:line="158"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increased by 25% to RMB14.9 billion (US$2.1 billion) in 2025 from RMB11.9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an increase in sales and marketing related activities .</w:t>
      </w:r>
    </w:p>
    <w:p>
      <w:pPr>
        <w:spacing w:after="0" w:line="158" w:lineRule="exact"/>
        <w:rPr>
          <w:sz w:val="20"/>
          <w:szCs w:val="20"/>
          <w:color w:val="auto"/>
        </w:rPr>
      </w:pPr>
    </w:p>
    <w:p>
      <w:pPr>
        <w:ind w:left="120" w:right="8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9% to RMB4.5 billion (US$640 million) in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RMB4.1 billion in 2024, primarily due to an increase in general and administrative personnel related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remained stable and amounted to RMB2.6 billion (US$372 million) in 2025, as compared to RMB2.3 billion in 2024.</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Interest expense decreased by 51% to RMB849 million (US$121 million) in 2025 from RMB1.7 billion in 2024, primarily due to the decrease in balance of borrowings and fluctuation in interest rates in 2025.</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40"/>
          </w:cols>
          <w:pgMar w:left="320" w:top="482" w:right="5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Other income was RMB21.3 billion (US$3.0 billion) in 2025, compared to other income of RMB2.2 billion in 2024. Other income in 2025 primarily consisted of RMB15.4 billion (US$2.2 billion) gain from acquirement of business or disposal of long-term investments, RMB4.0 billion (US$565 million) fair value gain of equity securities investments and exchangeable senior notes, RMB1.3 billion (US$192 million) government grants, RMB400 million (US$57 million) dividend from long-term investments and RMB316 million (US$45 million) foreign exchange gain. Other income in 2024 primarily consisted of RMB1.1 billion fair value gain of equity securities investments and exchangeable senior notes, RMB787 million government grants, RMB170 million dividend from long-term investments, partially offset by the RMB122 million impairments of long-term investments.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Income tax expense was RMB5.8 billion (US$832 million) in 2025, compared to RMB2.6 billion in 2024. Our effective income tax rate in 2025 was 15%, compared to 15% in 2024. The effective tax rate was primarily impacted by the combined impacts of (i) changes in the respective profitability of our subsidiaries with different tax rates, (ii) changes in deferred tax liabilities relating to withholding tax, (iii) certain non-taxable income or loss resulting from the fair value changes in equity securities investments and exchangeable senior notes recorded in other (expense)/income, (iv) changes in valuation allowance provided for deferred tax assets, and (v) tax arising from the partial disposal of certain investment in accordance with the local indirect transfer tax rules.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in Income of Affiliates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Equity in income of affiliates in 2025 was RMB353 million (US$50 million), compared to equity in income of affiliates of RMB2.8 billion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This was primarily due to the income generated from our equity method investments in 2025.</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Total revenues increased by 20% to RMB53.4 billion in 2024 from RMB44.6 billion in 2023, primarily driven by resilient travel demand and consumption throughout the year.</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Accommodation Reservation</w:t>
      </w:r>
      <w:r>
        <w:rPr>
          <w:rFonts w:ascii="Times New Roman" w:cs="Times New Roman" w:eastAsia="Times New Roman" w:hAnsi="Times New Roman"/>
          <w:sz w:val="18"/>
          <w:szCs w:val="18"/>
          <w:color w:val="auto"/>
        </w:rPr>
        <w:t>. Accommodation reservation revenue increased by 25% to RMB21.6 billion in 2024 from RMB17.3 billion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was in line with the 19% increase in accommodation reservation GMV, primarily driven by robust growth across our domestic, outbound and international markets.</w:t>
      </w:r>
    </w:p>
    <w:p>
      <w:pPr>
        <w:spacing w:after="0" w:line="173" w:lineRule="exact"/>
        <w:rPr>
          <w:sz w:val="20"/>
          <w:szCs w:val="20"/>
          <w:color w:val="auto"/>
        </w:rPr>
      </w:pPr>
    </w:p>
    <w:p>
      <w:pPr>
        <w:ind w:left="120" w:right="28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Transportation Ticketing</w:t>
      </w:r>
      <w:r>
        <w:rPr>
          <w:rFonts w:ascii="Times New Roman" w:cs="Times New Roman" w:eastAsia="Times New Roman" w:hAnsi="Times New Roman"/>
          <w:sz w:val="17"/>
          <w:szCs w:val="17"/>
          <w:color w:val="auto"/>
        </w:rPr>
        <w:t>. Transportation ticketing revenue increased by 10% to RMB20.3 billion in 2024 from RMB18.4 billion in 2023.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in line with the 8% increase in transportation ticketing GMV, primarily driven by an increase in market demands in transportation reservations.</w:t>
      </w:r>
    </w:p>
    <w:p>
      <w:pPr>
        <w:spacing w:after="0" w:line="135"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Packaged Tours</w:t>
      </w:r>
      <w:r>
        <w:rPr>
          <w:rFonts w:ascii="Times New Roman" w:cs="Times New Roman" w:eastAsia="Times New Roman" w:hAnsi="Times New Roman"/>
          <w:sz w:val="18"/>
          <w:szCs w:val="18"/>
          <w:color w:val="auto"/>
        </w:rPr>
        <w:t>. Packaged tours revenue increased by 38% to RMB4.3 billion in 2024 from RMB3.1 billion in 2023, primarily driven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market demands in packaged-tour reservations.</w:t>
      </w:r>
    </w:p>
    <w:p>
      <w:pPr>
        <w:spacing w:after="0" w:line="158"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Travel. </w:t>
      </w:r>
      <w:r>
        <w:rPr>
          <w:rFonts w:ascii="Times New Roman" w:cs="Times New Roman" w:eastAsia="Times New Roman" w:hAnsi="Times New Roman"/>
          <w:sz w:val="18"/>
          <w:szCs w:val="18"/>
          <w:color w:val="auto"/>
        </w:rPr>
        <w:t>Corporate travel revenue increased by 11% to RMB2.5 billion in 2024 from RMB2.3 billion in 2023, primarily driven by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adopting our managed corporate travel services.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Other revenues increased to RMB4.6 billion in 2024 from RMB3.5 billion in 2023.</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Cost of revenues increased by 23% to RMB10.0 billion in 2024 from RMB8.1 billion in 2023, which was in line with the increase in our total revenues.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Operating expenses include product development expenses, sales and marketing expenses, and general and administrative expenses.</w:t>
      </w:r>
    </w:p>
    <w:p>
      <w:pPr>
        <w:spacing w:after="0" w:line="223"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by 8% to RMB13.1 billion in 2024 from RMB12.1 billion in 2023,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increase in product development personnel related expenses.</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82"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increased by 29% to RMB11.9 billion in 2024 from RMB9.2 billion in 2023,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sales and marketing related activities .</w:t>
      </w:r>
    </w:p>
    <w:p>
      <w:pPr>
        <w:spacing w:after="0" w:line="158"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9% to RMB4.1 billion in 2024 from RMB3.7 billion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general and administrative personnel related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remained stable and amounted to RMB2.3 billion in 2024, as compared to RMB2.1 billion in 2023 .</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Interest expense decreased by 16% to RMB1.7 billion in 2024 from RMB2.1 billion in 2023, primarily due to the decrease in balance of borrowings and fluctuation in interest rates in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119"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Other income was RMB2.2 billion in 2024, compared to other expense of RMB667 million in 2023. Other income in 2024 primarily consisted of RMB1.1 billion fair value gain of equity securities investments and exchangeable senior notes, RMB787 million government grants, RMB170 million dividend from long-term investments, partially offset by the RMB122 million impairments of long-term investments. Other expense in 2023 primarily consisted of RMB1.5 billion fair value loss of equity securities investments and exchangeable senior notes and RMB115 million impairments of long-term investments, partially offset by the RMB608 million government grants and RMB177 million dividend from long-term investments.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Income tax expense was RMB2.6 billion in 2024, compared to RMB1.8 billion in 2023. Our effective income tax rate in 2024 was 15%, compared to 16% in 2023. The change in effective tax rate was primarily due to the combined impacts of (i) changes in the respective profitability of our subsidiaries with different tax rates, (ii) changes in deferred tax liabilities relating to withholding tax, (iii) certain non-taxable income or loss resulting from the fair value changes in equity securities investments and exchangeable senior notes recorded in other income/(expense), and (iv) changes in valuation allowance provided for deferred tax assets.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in Income of Affiliates</w:t>
      </w:r>
    </w:p>
    <w:p>
      <w:pPr>
        <w:spacing w:after="0" w:line="119"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Equity in income of affiliates in 2024 was RMB2.8 billion, compared to equity in income of affiliates of RMB1.1 billion in 2023. This was primarily due to the income incurred from our equity method investments in 2024, partially offset by other-than-temporary impairment of certain investments.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 Relating to the VIEs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schedules of financial information of Trip.com Group Limited, our subsidiaries that are the primary beneficiaries of the VIEs, our other subsidiaries, and the VIEs and their subsidiaries for the years and as of the dates indicated.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Schedules of Results of Operations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Trip.com</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center"/>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The VIEs</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980" w:type="dxa"/>
            <w:vAlign w:val="bottom"/>
            <w:gridSpan w:val="2"/>
            <w:vMerge w:val="continue"/>
          </w:tcPr>
          <w:p>
            <w:pPr>
              <w:spacing w:after="0"/>
              <w:rPr>
                <w:sz w:val="12"/>
                <w:szCs w:val="12"/>
                <w:color w:val="auto"/>
              </w:rPr>
            </w:pPr>
          </w:p>
        </w:tc>
        <w:tc>
          <w:tcPr>
            <w:tcW w:w="100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the VIEs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tcBorders>
              <w:top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net revenues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46,802</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4,769</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10,838</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62,409</w:t>
            </w:r>
          </w:p>
        </w:tc>
        <w:tc>
          <w:tcPr>
            <w:tcW w:w="0" w:type="dxa"/>
            <w:vAlign w:val="bottom"/>
          </w:tcPr>
          <w:p>
            <w:pPr>
              <w:spacing w:after="0"/>
              <w:rPr>
                <w:sz w:val="1"/>
                <w:szCs w:val="1"/>
                <w:color w:val="auto"/>
              </w:rPr>
            </w:pPr>
          </w:p>
        </w:tc>
      </w:tr>
      <w:tr>
        <w:trPr>
          <w:trHeight w:val="216"/>
        </w:trPr>
        <w:tc>
          <w:tcPr>
            <w:tcW w:w="5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Inter-company net revenues</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768</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4,839</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cost of revenues and operating expenses</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(34,087)</w:t>
            </w:r>
          </w:p>
        </w:tc>
        <w:tc>
          <w:tcPr>
            <w:tcW w:w="10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(4,729)</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(7,801)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(46,636)</w:t>
            </w:r>
          </w:p>
        </w:tc>
        <w:tc>
          <w:tcPr>
            <w:tcW w:w="0" w:type="dxa"/>
            <w:vAlign w:val="bottom"/>
          </w:tcPr>
          <w:p>
            <w:pPr>
              <w:spacing w:after="0"/>
              <w:rPr>
                <w:sz w:val="1"/>
                <w:szCs w:val="1"/>
                <w:color w:val="auto"/>
              </w:rPr>
            </w:pPr>
          </w:p>
        </w:tc>
      </w:tr>
      <w:tr>
        <w:trPr>
          <w:trHeight w:val="216"/>
        </w:trPr>
        <w:tc>
          <w:tcPr>
            <w:tcW w:w="5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Inter-company cost of revenues and operating expenses</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(2,078)</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(544)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11,405</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4,335</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15,773</w:t>
            </w:r>
          </w:p>
        </w:tc>
        <w:tc>
          <w:tcPr>
            <w:tcW w:w="0" w:type="dxa"/>
            <w:vAlign w:val="bottom"/>
          </w:tcPr>
          <w:p>
            <w:pPr>
              <w:spacing w:after="0"/>
              <w:rPr>
                <w:sz w:val="1"/>
                <w:szCs w:val="1"/>
                <w:color w:val="auto"/>
              </w:rPr>
            </w:pPr>
          </w:p>
        </w:tc>
      </w:tr>
      <w:tr>
        <w:trPr>
          <w:trHeight w:val="216"/>
        </w:trPr>
        <w:tc>
          <w:tcPr>
            <w:tcW w:w="5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Share of income from subsidiaries and the VIEs</w:t>
            </w:r>
            <w:r>
              <w:rPr>
                <w:rFonts w:ascii="Times New Roman" w:cs="Times New Roman" w:eastAsia="Times New Roman" w:hAnsi="Times New Roman"/>
                <w:sz w:val="25"/>
                <w:szCs w:val="25"/>
                <w:color w:val="auto"/>
                <w:vertAlign w:val="superscript"/>
              </w:rPr>
              <w:t>(2)</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18,869</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4,724</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811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(24,404)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and other income</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16,217</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5,971</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316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23,075</w:t>
            </w:r>
          </w:p>
        </w:tc>
        <w:tc>
          <w:tcPr>
            <w:tcW w:w="0" w:type="dxa"/>
            <w:vAlign w:val="bottom"/>
          </w:tcPr>
          <w:p>
            <w:pPr>
              <w:spacing w:after="0"/>
              <w:rPr>
                <w:sz w:val="1"/>
                <w:szCs w:val="1"/>
                <w:color w:val="auto"/>
              </w:rPr>
            </w:pPr>
          </w:p>
        </w:tc>
      </w:tr>
      <w:tr>
        <w:trPr>
          <w:trHeight w:val="201"/>
        </w:trPr>
        <w:tc>
          <w:tcPr>
            <w:tcW w:w="52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income tax expense and equity in income/(loss) of</w:t>
            </w: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35,067</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22,100</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5,462</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623</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(24,404)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38,848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(2,073)</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(3,122)</w:t>
            </w:r>
          </w:p>
        </w:tc>
        <w:tc>
          <w:tcPr>
            <w:tcW w:w="10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(451)</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income/(loss) of affiliates</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33,294</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18,942</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5,134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(24,404)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33,386</w:t>
            </w:r>
          </w:p>
        </w:tc>
        <w:tc>
          <w:tcPr>
            <w:tcW w:w="0" w:type="dxa"/>
            <w:vAlign w:val="bottom"/>
          </w:tcPr>
          <w:p>
            <w:pPr>
              <w:spacing w:after="0"/>
              <w:rPr>
                <w:sz w:val="1"/>
                <w:szCs w:val="1"/>
                <w:color w:val="auto"/>
              </w:rPr>
            </w:pP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 interests and mezzanine</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classified non-controlling interests</w:t>
            </w:r>
          </w:p>
        </w:tc>
        <w:tc>
          <w:tcPr>
            <w:tcW w:w="2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redemption value of redeemable non-controlling interests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(25)</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Trip.com Group Limited</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33,294</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18,869</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40" w:type="dxa"/>
            <w:vAlign w:val="bottom"/>
          </w:tcPr>
          <w:p>
            <w:pPr>
              <w:spacing w:after="0"/>
              <w:rPr>
                <w:sz w:val="24"/>
                <w:szCs w:val="24"/>
                <w:color w:val="auto"/>
              </w:rPr>
            </w:pPr>
          </w:p>
        </w:tc>
        <w:tc>
          <w:tcPr>
            <w:tcW w:w="76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Trip.com</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center"/>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The VIEs</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960" w:type="dxa"/>
            <w:vAlign w:val="bottom"/>
            <w:gridSpan w:val="2"/>
            <w:vMerge w:val="continue"/>
          </w:tcPr>
          <w:p>
            <w:pPr>
              <w:spacing w:after="0"/>
              <w:rPr>
                <w:sz w:val="12"/>
                <w:szCs w:val="12"/>
                <w:color w:val="auto"/>
              </w:rPr>
            </w:pPr>
          </w:p>
        </w:tc>
        <w:tc>
          <w:tcPr>
            <w:tcW w:w="100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the VIEs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net revenues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39,521</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3,648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10,125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53,294</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Inter-company net revenues</w:t>
            </w:r>
            <w:r>
              <w:rPr>
                <w:rFonts w:ascii="Times New Roman" w:cs="Times New Roman" w:eastAsia="Times New Roman" w:hAnsi="Times New Roman"/>
                <w:sz w:val="25"/>
                <w:szCs w:val="25"/>
                <w:color w:val="auto"/>
                <w:vertAlign w:val="superscript"/>
              </w:rPr>
              <w:t>(1)</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880</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6,407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1,655</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(8,942)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cost of revenues and operating expenses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(28,694)</w:t>
            </w:r>
          </w:p>
        </w:tc>
        <w:tc>
          <w:tcPr>
            <w:tcW w:w="10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(3,557)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(6,841)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(39,117)</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Inter-company cost of revenues and operating expenses</w:t>
            </w:r>
            <w:r>
              <w:rPr>
                <w:rFonts w:ascii="Times New Roman" w:cs="Times New Roman" w:eastAsia="Times New Roman" w:hAnsi="Times New Roman"/>
                <w:sz w:val="25"/>
                <w:szCs w:val="25"/>
                <w:color w:val="auto"/>
                <w:vertAlign w:val="superscript"/>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(3,116)</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(1,010)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(4,816)</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8,591</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5,488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14,177</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Share of income/(loss) from subsidiaries and the VIEs</w:t>
            </w:r>
            <w:r>
              <w:rPr>
                <w:rFonts w:ascii="Times New Roman" w:cs="Times New Roman" w:eastAsia="Times New Roman" w:hAnsi="Times New Roman"/>
                <w:sz w:val="25"/>
                <w:szCs w:val="25"/>
                <w:color w:val="auto"/>
                <w:vertAlign w:val="superscript"/>
              </w:rPr>
              <w:t>(2)</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17,466</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5,883</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628</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(23,977)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(expense)/income and other (expense)/income</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(1,099)</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3,250</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448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01"/>
        </w:trPr>
        <w:tc>
          <w:tcPr>
            <w:tcW w:w="54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Income/(Loss) before income tax expense and equity in income/(loss)</w:t>
            </w: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affiliates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16,342</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17,724</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6,564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(23,977)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17,003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(2,194)</w:t>
            </w:r>
          </w:p>
        </w:tc>
        <w:tc>
          <w:tcPr>
            <w:tcW w:w="10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(466)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income/(loss) of affiliates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2,043</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110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17,067</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17,573</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6,208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356</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(23,977)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17,227</w:t>
            </w:r>
          </w:p>
        </w:tc>
        <w:tc>
          <w:tcPr>
            <w:tcW w:w="0" w:type="dxa"/>
            <w:vAlign w:val="bottom"/>
          </w:tcPr>
          <w:p>
            <w:pPr>
              <w:spacing w:after="0"/>
              <w:rPr>
                <w:sz w:val="1"/>
                <w:szCs w:val="1"/>
                <w:color w:val="auto"/>
              </w:rPr>
            </w:pPr>
          </w:p>
        </w:tc>
      </w:tr>
      <w:tr>
        <w:trPr>
          <w:trHeight w:val="198"/>
        </w:trPr>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(income)/loss attributable to non-controlling interests and mezzanine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classified non-controlling interests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(107)</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(59)</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Trip.com Group Limited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(23,977)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17,067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0" w:type="dxa"/>
            <w:vAlign w:val="bottom"/>
          </w:tcPr>
          <w:p>
            <w:pPr>
              <w:spacing w:after="0"/>
              <w:rPr>
                <w:sz w:val="24"/>
                <w:szCs w:val="24"/>
                <w:color w:val="auto"/>
              </w:rPr>
            </w:pPr>
          </w:p>
        </w:tc>
        <w:tc>
          <w:tcPr>
            <w:tcW w:w="58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w w:val="99"/>
              </w:rPr>
              <w:t>91</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Trip.com</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center"/>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The VIEs</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960" w:type="dxa"/>
            <w:vAlign w:val="bottom"/>
            <w:gridSpan w:val="2"/>
            <w:vMerge w:val="continue"/>
          </w:tcPr>
          <w:p>
            <w:pPr>
              <w:spacing w:after="0"/>
              <w:rPr>
                <w:sz w:val="12"/>
                <w:szCs w:val="12"/>
                <w:color w:val="auto"/>
              </w:rPr>
            </w:pPr>
          </w:p>
        </w:tc>
        <w:tc>
          <w:tcPr>
            <w:tcW w:w="100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the VIEs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net revenues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31,747</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4,494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8,269</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44,510</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Inter-company net revenues</w:t>
            </w:r>
            <w:r>
              <w:rPr>
                <w:rFonts w:ascii="Times New Roman" w:cs="Times New Roman" w:eastAsia="Times New Roman" w:hAnsi="Times New Roman"/>
                <w:sz w:val="25"/>
                <w:szCs w:val="25"/>
                <w:color w:val="auto"/>
                <w:vertAlign w:val="superscript"/>
              </w:rPr>
              <w:t>(1)</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455</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5,663</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1,781</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(7,899)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cost of revenues and operating expenses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(22,867)</w:t>
            </w:r>
          </w:p>
        </w:tc>
        <w:tc>
          <w:tcPr>
            <w:tcW w:w="10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(3,757)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(6,374)</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(33,186)</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Inter-company cost of revenues and operating expenses</w:t>
            </w:r>
            <w:r>
              <w:rPr>
                <w:rFonts w:ascii="Times New Roman" w:cs="Times New Roman" w:eastAsia="Times New Roman" w:hAnsi="Times New Roman"/>
                <w:sz w:val="25"/>
                <w:szCs w:val="25"/>
                <w:color w:val="auto"/>
                <w:vertAlign w:val="superscript"/>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(3,170)</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7,899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(188)</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6,165</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6,375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(1,028)</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11,324</w:t>
            </w: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Share of income/(loss) from subsidiaries and the VIEs</w:t>
            </w:r>
            <w:r>
              <w:rPr>
                <w:rFonts w:ascii="Times New Roman" w:cs="Times New Roman" w:eastAsia="Times New Roman" w:hAnsi="Times New Roman"/>
                <w:sz w:val="25"/>
                <w:szCs w:val="25"/>
                <w:color w:val="auto"/>
                <w:vertAlign w:val="superscript"/>
              </w:rPr>
              <w:t>(2)</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12,070</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230</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(577)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(11,723)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(expense)/income and other (expense)/income</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(2,065)</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5,985</w:t>
            </w:r>
          </w:p>
        </w:tc>
        <w:tc>
          <w:tcPr>
            <w:tcW w:w="10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(4,865)</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1"/>
        </w:trPr>
        <w:tc>
          <w:tcPr>
            <w:tcW w:w="54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Income/(Loss) before income tax expense and equity in income/(loss)</w:t>
            </w: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affiliates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9,817</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12,380</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933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(727)</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(11,723)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10,680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(1,158)</w:t>
            </w:r>
          </w:p>
        </w:tc>
        <w:tc>
          <w:tcPr>
            <w:tcW w:w="10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(427)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income/(loss) of affiliates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929</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91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9,916</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12,151</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597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(939)</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(11,723)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Trip.com Group Limited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(945)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(11,723)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9,918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Notes:</w:t>
      </w:r>
    </w:p>
    <w:p>
      <w:pPr>
        <w:spacing w:after="0" w:line="109" w:lineRule="exact"/>
        <w:rPr>
          <w:sz w:val="20"/>
          <w:szCs w:val="20"/>
          <w:color w:val="auto"/>
        </w:rPr>
      </w:pPr>
    </w:p>
    <w:p>
      <w:pPr>
        <w:ind w:left="540" w:right="220" w:hanging="424"/>
        <w:spacing w:after="0" w:line="261" w:lineRule="auto"/>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represents the elimination of the intercompany service charge at the consolidation level. For the years ended December 31, 2023, 2024, and 2025, the service fees of the VIEs and their subsidiaries charged by the primary beneficiaries of the VIEs were RMB4.3 billion, RMB4.0 billion, and RMB3.5 billion, respectively.</w:t>
      </w:r>
    </w:p>
    <w:p>
      <w:pPr>
        <w:spacing w:after="0" w:line="68"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represents the elimination of the investment among Trip.com Group Limited, other subsidiaries, primary beneficiaries of the VIEs, and the VIEs and their subsidiaries.</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Schedules of Balance Sheets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Trip.com</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The VIEs</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920" w:type="dxa"/>
            <w:vAlign w:val="bottom"/>
            <w:gridSpan w:val="2"/>
            <w:vMerge w:val="continue"/>
          </w:tcPr>
          <w:p>
            <w:pPr>
              <w:spacing w:after="0"/>
              <w:rPr>
                <w:sz w:val="12"/>
                <w:szCs w:val="12"/>
                <w:color w:val="auto"/>
              </w:rPr>
            </w:pPr>
          </w:p>
        </w:tc>
        <w:tc>
          <w:tcPr>
            <w:tcW w:w="96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6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the VIEs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vMerge w:val="continue"/>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30,947</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5,883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39,848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6,172</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257</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5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26,682</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2,302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32,007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13,651</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261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1,329</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15,241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5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3,349</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20,669</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282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2,897</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23,982</w:t>
            </w:r>
          </w:p>
        </w:tc>
        <w:tc>
          <w:tcPr>
            <w:tcW w:w="0" w:type="dxa"/>
            <w:vAlign w:val="bottom"/>
          </w:tcPr>
          <w:p>
            <w:pPr>
              <w:spacing w:after="0"/>
              <w:rPr>
                <w:sz w:val="1"/>
                <w:szCs w:val="1"/>
                <w:color w:val="auto"/>
              </w:rPr>
            </w:pPr>
          </w:p>
        </w:tc>
      </w:tr>
      <w:tr>
        <w:trPr>
          <w:trHeight w:val="216"/>
        </w:trPr>
        <w:tc>
          <w:tcPr>
            <w:tcW w:w="4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Amounts due from Group companies</w:t>
            </w:r>
            <w:r>
              <w:rPr>
                <w:rFonts w:ascii="Times New Roman" w:cs="Times New Roman" w:eastAsia="Times New Roman" w:hAnsi="Times New Roman"/>
                <w:sz w:val="25"/>
                <w:szCs w:val="25"/>
                <w:color w:val="auto"/>
                <w:vertAlign w:val="superscript"/>
              </w:rPr>
              <w:t>(1)</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35,102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17,419</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4,259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9,747</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(66,527)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prepayments and other assets</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5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4,984</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406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8,139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45,434</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6,458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61,375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Investment in subsidiaries and the VIEs</w:t>
            </w:r>
            <w:r>
              <w:rPr>
                <w:rFonts w:ascii="Times New Roman" w:cs="Times New Roman" w:eastAsia="Times New Roman" w:hAnsi="Times New Roman"/>
                <w:sz w:val="25"/>
                <w:szCs w:val="25"/>
                <w:color w:val="auto"/>
                <w:vertAlign w:val="superscript"/>
              </w:rPr>
              <w:t>(2)</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142,540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14,819</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11,030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(168,389)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62,043</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62,268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12,806</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12,862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1,923</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322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185,926</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262,230</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31,599</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(234,916)</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4,585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10,404</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3,001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19,335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16,359</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212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2,579</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19,150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5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3,800</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1,612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5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1,636</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168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16,028</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18,185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liability for rewards program</w:t>
            </w:r>
          </w:p>
        </w:tc>
        <w:tc>
          <w:tcPr>
            <w:tcW w:w="5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2,166</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333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6,233</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1,250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r>
        <w:trPr>
          <w:trHeight w:val="216"/>
        </w:trPr>
        <w:tc>
          <w:tcPr>
            <w:tcW w:w="4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Amounts due to Group companies</w:t>
            </w:r>
            <w:r>
              <w:rPr>
                <w:rFonts w:ascii="Times New Roman" w:cs="Times New Roman" w:eastAsia="Times New Roman" w:hAnsi="Times New Roman"/>
                <w:sz w:val="25"/>
                <w:szCs w:val="25"/>
                <w:color w:val="auto"/>
                <w:vertAlign w:val="superscript"/>
              </w:rPr>
              <w:t>(1)</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46,629</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8,218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11,486</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(66,527)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3,938</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10,413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1,017</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11,430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liability</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564</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tcPr>
          <w:p>
            <w:pPr>
              <w:spacing w:after="0"/>
              <w:rPr>
                <w:sz w:val="18"/>
                <w:szCs w:val="18"/>
                <w:color w:val="auto"/>
              </w:rPr>
            </w:pP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14,876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21,363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(66,527)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94,787</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5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170,612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152,338</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16,723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(168,389)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172,469</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5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185,926</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262,230</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31,599</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(234,916)</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1240" w:type="dxa"/>
            <w:vAlign w:val="bottom"/>
            <w:gridSpan w:val="2"/>
          </w:tcPr>
          <w:p>
            <w:pPr>
              <w:jc w:val="right"/>
              <w:ind w:right="512"/>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Trip.com</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The VIEs</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920" w:type="dxa"/>
            <w:vAlign w:val="bottom"/>
            <w:gridSpan w:val="2"/>
            <w:vMerge w:val="continue"/>
          </w:tcPr>
          <w:p>
            <w:pPr>
              <w:spacing w:after="0"/>
              <w:rPr>
                <w:sz w:val="12"/>
                <w:szCs w:val="12"/>
                <w:color w:val="auto"/>
              </w:rPr>
            </w:pPr>
          </w:p>
        </w:tc>
        <w:tc>
          <w:tcPr>
            <w:tcW w:w="96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6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the VIEs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vMerge w:val="continue"/>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38,371</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7,277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48,439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2,438</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93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19,529</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6,556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28,475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11,226</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119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1,114</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12,459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2,745</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14,129</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292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17,290</w:t>
            </w:r>
          </w:p>
        </w:tc>
        <w:tc>
          <w:tcPr>
            <w:tcW w:w="0" w:type="dxa"/>
            <w:vAlign w:val="bottom"/>
          </w:tcPr>
          <w:p>
            <w:pPr>
              <w:spacing w:after="0"/>
              <w:rPr>
                <w:sz w:val="1"/>
                <w:szCs w:val="1"/>
                <w:color w:val="auto"/>
              </w:rPr>
            </w:pPr>
          </w:p>
        </w:tc>
      </w:tr>
      <w:tr>
        <w:trPr>
          <w:trHeight w:val="216"/>
        </w:trPr>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Amounts due from Group companies</w:t>
            </w:r>
            <w:r>
              <w:rPr>
                <w:rFonts w:ascii="Times New Roman" w:cs="Times New Roman" w:eastAsia="Times New Roman" w:hAnsi="Times New Roman"/>
                <w:sz w:val="25"/>
                <w:szCs w:val="25"/>
                <w:color w:val="auto"/>
                <w:vertAlign w:val="superscript"/>
              </w:rPr>
              <w:t>(1)</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30,663</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11,757</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6,994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8,567</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(57,981)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prepayments and other assets</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4,613</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410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12,391</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28,553</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4,347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47,194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Investment in subsidiaries and the VIEs</w:t>
            </w:r>
            <w:r>
              <w:rPr>
                <w:rFonts w:ascii="Times New Roman" w:cs="Times New Roman" w:eastAsia="Times New Roman" w:hAnsi="Times New Roman"/>
                <w:sz w:val="25"/>
                <w:szCs w:val="25"/>
                <w:color w:val="auto"/>
                <w:vertAlign w:val="superscript"/>
              </w:rPr>
              <w:t>(2)</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124,988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17,758</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8,144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(150,890)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60,686</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60,911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12,707</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12,763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2,473</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379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168,616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227,949</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34,798</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20,089</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(208,871)</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6,068</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5,895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19,433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14,657</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206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16,578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3,566</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1,586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1,558</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356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14,079</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55</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18,029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liability for rewards program</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1,841</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198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5,937</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1,188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9,661</w:t>
            </w:r>
          </w:p>
        </w:tc>
        <w:tc>
          <w:tcPr>
            <w:tcW w:w="0" w:type="dxa"/>
            <w:vAlign w:val="bottom"/>
          </w:tcPr>
          <w:p>
            <w:pPr>
              <w:spacing w:after="0"/>
              <w:rPr>
                <w:sz w:val="1"/>
                <w:szCs w:val="1"/>
                <w:color w:val="auto"/>
              </w:rPr>
            </w:pPr>
          </w:p>
        </w:tc>
      </w:tr>
      <w:tr>
        <w:trPr>
          <w:trHeight w:val="216"/>
        </w:trPr>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Amounts due to Group companies</w:t>
            </w:r>
            <w:r>
              <w:rPr>
                <w:rFonts w:ascii="Times New Roman" w:cs="Times New Roman" w:eastAsia="Times New Roman" w:hAnsi="Times New Roman"/>
                <w:sz w:val="25"/>
                <w:szCs w:val="25"/>
                <w:color w:val="auto"/>
                <w:vertAlign w:val="superscript"/>
              </w:rPr>
              <w:t>(1)</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43,497</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5,855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7,325</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(57,981)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4,085</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19,518</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20,134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liability</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8"/>
                <w:szCs w:val="18"/>
                <w:color w:val="auto"/>
              </w:rPr>
            </w:pP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97,049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15,422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19,362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(57,981)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99,099</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143,369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130,157</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19,376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727</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(150,890)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142,739</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168,616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227,949</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34,798</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20,089</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(208,871)</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Notes:</w:t>
      </w:r>
    </w:p>
    <w:p>
      <w:pPr>
        <w:spacing w:after="0" w:line="109" w:lineRule="exact"/>
        <w:rPr>
          <w:sz w:val="20"/>
          <w:szCs w:val="20"/>
          <w:color w:val="auto"/>
        </w:rPr>
      </w:pPr>
    </w:p>
    <w:p>
      <w:pPr>
        <w:ind w:left="540" w:right="220" w:hanging="424"/>
        <w:spacing w:after="0" w:line="261" w:lineRule="auto"/>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represents the elimination of intercompany balances among Trip.com Group Limited, other subsidiaries, primary beneficiaries of the VIEs, and the VIEs and their subsidiaries for treasury cash management purpose.</w:t>
      </w:r>
    </w:p>
    <w:p>
      <w:pPr>
        <w:spacing w:after="0" w:line="68"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represents the elimination of the investment among Trip.com Group Limited, other subsidiaries, primary beneficiaries of the VIEs, and the VIEs and their subsidiaries.</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Schedule of Cash Flows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Trip.com</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The VIEs</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10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5"/>
                <w:szCs w:val="15"/>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the VIEs</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Net cash (used in)/provided by operating activities</w:t>
            </w:r>
            <w:r>
              <w:rPr>
                <w:rFonts w:ascii="Times New Roman" w:cs="Times New Roman" w:eastAsia="Times New Roman" w:hAnsi="Times New Roman"/>
                <w:sz w:val="25"/>
                <w:szCs w:val="25"/>
                <w:b w:val="1"/>
                <w:bCs w:val="1"/>
                <w:color w:val="auto"/>
                <w:vertAlign w:val="superscript"/>
              </w:rPr>
              <w:t>(1)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18,446</w:t>
            </w:r>
          </w:p>
        </w:tc>
        <w:tc>
          <w:tcPr>
            <w:tcW w:w="130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4,224</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to Group companies</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(2,206)</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flows of loan funding provided to group companies, net of</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received</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(5,754)</w:t>
            </w:r>
          </w:p>
        </w:tc>
        <w:tc>
          <w:tcPr>
            <w:tcW w:w="130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2,769</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(1,180)</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8,604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19,646</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(25,786)</w:t>
            </w:r>
          </w:p>
        </w:tc>
        <w:tc>
          <w:tcPr>
            <w:tcW w:w="130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2,558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(31,540)</w:t>
            </w:r>
          </w:p>
        </w:tc>
        <w:tc>
          <w:tcPr>
            <w:tcW w:w="130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3,121</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(1,779)</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10,810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from Group companies</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2,206</w:t>
            </w:r>
          </w:p>
        </w:tc>
        <w:tc>
          <w:tcPr>
            <w:tcW w:w="200" w:type="dxa"/>
            <w:vAlign w:val="bottom"/>
          </w:tcPr>
          <w:p>
            <w:pPr>
              <w:spacing w:after="0"/>
              <w:rPr>
                <w:sz w:val="18"/>
                <w:szCs w:val="18"/>
                <w:color w:val="auto"/>
              </w:rPr>
            </w:pP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flows of loan funding received from group companies, net</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repayments made</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3,099</w:t>
            </w:r>
          </w:p>
        </w:tc>
        <w:tc>
          <w:tcPr>
            <w:tcW w:w="130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2,357</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4,257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(8,604)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repurchasing of ordinary shares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distribution</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(8,037)</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8,037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4,409</w:t>
            </w:r>
          </w:p>
        </w:tc>
        <w:tc>
          <w:tcPr>
            <w:tcW w:w="130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(2,895)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(2,190)</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financing activities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9,714</w:t>
            </w:r>
          </w:p>
        </w:tc>
        <w:tc>
          <w:tcPr>
            <w:tcW w:w="130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(8,575)</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(14,663)</w:t>
            </w:r>
          </w:p>
        </w:tc>
        <w:tc>
          <w:tcPr>
            <w:tcW w:w="0" w:type="dxa"/>
            <w:vAlign w:val="bottom"/>
          </w:tcPr>
          <w:p>
            <w:pPr>
              <w:spacing w:after="0"/>
              <w:rPr>
                <w:sz w:val="1"/>
                <w:szCs w:val="1"/>
                <w:color w:val="auto"/>
              </w:rPr>
            </w:pPr>
          </w:p>
        </w:tc>
      </w:tr>
      <w:tr>
        <w:trPr>
          <w:trHeight w:val="364"/>
        </w:trPr>
        <w:tc>
          <w:tcPr>
            <w:tcW w:w="48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Trip.com</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The VIEs</w:t>
            </w: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1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VIEs</w:t>
            </w:r>
          </w:p>
        </w:tc>
        <w:tc>
          <w:tcPr>
            <w:tcW w:w="2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(RMB in</w:t>
            </w:r>
          </w:p>
        </w:tc>
        <w:tc>
          <w:tcPr>
            <w:tcW w:w="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Net cash (used in)/provided by operating activities</w:t>
            </w:r>
            <w:r>
              <w:rPr>
                <w:rFonts w:ascii="Times New Roman" w:cs="Times New Roman" w:eastAsia="Times New Roman" w:hAnsi="Times New Roman"/>
                <w:sz w:val="25"/>
                <w:szCs w:val="25"/>
                <w:b w:val="1"/>
                <w:bCs w:val="1"/>
                <w:color w:val="auto"/>
                <w:vertAlign w:val="superscript"/>
              </w:rPr>
              <w:t>(1)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(846)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20,036</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4,901</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1,434</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19,625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to Group companies</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flows of loan funding provided to group companies, net of</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received</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1,620</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(1,957)</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(7,738)</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756</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930</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1,447</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(6,118)</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(2,126)</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(1,027)</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1,772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(6,052)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from Group companies</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flows of loan funding received from group companies, net</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repayments made</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(1,211)</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repurchasing of ordinary shares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distribution</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(2,606)</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(2,530)</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285</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financing activities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(1,114)</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(624)</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(8,174)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(926)</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4,128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(6,710)</w:t>
            </w:r>
          </w:p>
        </w:tc>
        <w:tc>
          <w:tcPr>
            <w:tcW w:w="0" w:type="dxa"/>
            <w:vAlign w:val="bottom"/>
          </w:tcPr>
          <w:p>
            <w:pPr>
              <w:spacing w:after="0"/>
              <w:rPr>
                <w:sz w:val="1"/>
                <w:szCs w:val="1"/>
                <w:color w:val="auto"/>
              </w:rPr>
            </w:pPr>
          </w:p>
        </w:tc>
      </w:tr>
      <w:tr>
        <w:trPr>
          <w:trHeight w:val="365"/>
        </w:trPr>
        <w:tc>
          <w:tcPr>
            <w:tcW w:w="49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Trip.com</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The VIEs</w:t>
            </w: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1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VIEs</w:t>
            </w:r>
          </w:p>
        </w:tc>
        <w:tc>
          <w:tcPr>
            <w:tcW w:w="2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(RMB in</w:t>
            </w:r>
          </w:p>
        </w:tc>
        <w:tc>
          <w:tcPr>
            <w:tcW w:w="76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3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Net cash (used in)/provided by operating activities</w:t>
            </w:r>
            <w:r>
              <w:rPr>
                <w:rFonts w:ascii="Times New Roman" w:cs="Times New Roman" w:eastAsia="Times New Roman" w:hAnsi="Times New Roman"/>
                <w:sz w:val="25"/>
                <w:szCs w:val="25"/>
                <w:b w:val="1"/>
                <w:bCs w:val="1"/>
                <w:color w:val="auto"/>
                <w:vertAlign w:val="superscript"/>
              </w:rPr>
              <w:t>(1)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(1,536)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18,260</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8,088</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1,092</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22,004</w:t>
            </w:r>
          </w:p>
        </w:tc>
        <w:tc>
          <w:tcPr>
            <w:tcW w:w="0" w:type="dxa"/>
            <w:vAlign w:val="bottom"/>
          </w:tcPr>
          <w:p>
            <w:pPr>
              <w:spacing w:after="0"/>
              <w:rPr>
                <w:sz w:val="1"/>
                <w:szCs w:val="1"/>
                <w:color w:val="auto"/>
              </w:rPr>
            </w:pPr>
          </w:p>
        </w:tc>
      </w:tr>
      <w:tr>
        <w:trPr>
          <w:trHeight w:val="198"/>
        </w:trPr>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flows of loan funding provided to group companies, net of</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received</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1,775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(3,615)</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346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(1,182)</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2,676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5,639</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1,291</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5,919</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2,676</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flows of loan funding received from group companies, net</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repayments made</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(803)</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2,714</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783</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repurchasing of ordinary shares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distribution</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(2,347)</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2,961</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(1,965)</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financing activities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(1,214)</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(3,550)</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2,175</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(1,182)</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1,224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w:t>
      </w:r>
    </w:p>
    <w:p>
      <w:pPr>
        <w:spacing w:after="0" w:line="109" w:lineRule="exact"/>
        <w:rPr>
          <w:sz w:val="20"/>
          <w:szCs w:val="20"/>
          <w:color w:val="auto"/>
        </w:rPr>
      </w:pPr>
    </w:p>
    <w:p>
      <w:pPr>
        <w:ind w:left="540" w:right="300" w:hanging="424"/>
        <w:spacing w:after="0" w:line="261" w:lineRule="auto"/>
        <w:tabs>
          <w:tab w:leader="none" w:pos="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2023, 2024, and 2025, cash paid by the VIEs to the primary beneficiaries of the VIEs for service fees was RMB4.3 billion, RMB4.0 billion, and RMB3.5 billion, respectively.</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 xml:space="preserve">   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summary of our cash flows for the periods indicated: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302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80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000" w:type="dxa"/>
            <w:vAlign w:val="bottom"/>
          </w:tcPr>
          <w:p>
            <w:pPr>
              <w:spacing w:after="0"/>
              <w:rPr>
                <w:sz w:val="12"/>
                <w:szCs w:val="12"/>
                <w:color w:val="auto"/>
              </w:rPr>
            </w:pPr>
          </w:p>
        </w:tc>
        <w:tc>
          <w:tcPr>
            <w:tcW w:w="56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62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52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55"/>
        </w:trPr>
        <w:tc>
          <w:tcPr>
            <w:tcW w:w="8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22,004</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19,625</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14,379</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(6,052)</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(14,663)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 restricted cash</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restricted cash</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25,496</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beginning of year</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18,487</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43,983</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51,093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end of year</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43,983</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51,093</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46,451</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6,642</w:t>
            </w:r>
          </w:p>
        </w:tc>
      </w:tr>
    </w:tbl>
    <w:p>
      <w:pPr>
        <w:spacing w:after="0" w:line="19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 2025 was RMB14.4 billion (US$2.1 billion) compared to net cash provided by operating activities of RMB19.6 billion in 2024. The decrease was primarily due to increased cash used to fund working capital, and there was a significant increase in prepayments and other current assets. The effect of changes in working capital was partially offset by higher net income after adjusting for impacts on non-cash items. Net income had an improvement of RMB16.2 billion, which was primarily attributable to the partial disposal of MakeMyTrip. Non-cash items were principally associated with share-based compensation expenses, fair value income for equity securities investment and exchangeable senior notes, and gain from acquirement of business.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2024 was RMB19.6 billion compared to net cash provided by operating activities of RMB22.0 billion in 2023. The decrease was primarily due to increased cash used to fund working capital, since the growth rate of our business normalized in 2024 and there was a significant decrease in accounts payable. The effect of changes in working capital was partially offset by higher net income after adjusting for impacts on non-cash items. Net income had an improvement of RMB7.2 billion. Non-cash items were principally associated with share-based compensation expenses, fair value income for equity securities investment and exchangeable senior notes and equity in income from affiliates.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 2025 amounted to RMB4.2 billion (US$598 million), compared to net cash used in investing activities of RMB6.1 billion in 2024 and net cash provided by investing activities of RMB5.9 billion in 2023. The change in 2025 in comparison to 2024 was primarily due to cash received from disposal of both long-term and short-term investments, partially offset by net cash outflows of both long-term and short-term investments. The change in 2024 in comparison to 2023 was primarily due to net cash outflows for short-term investments.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in 2025 amounted to RMB14.7 billion (US$2.1 billion), compared to net cash used in financing activities of RMB6.7 billion in 2024 and RMB2.5 billion in 2023. Net cash used in financing activities in 2025 was mainly due to repayment of short-term and long-term bank loans, share repurchase, settlement of securitization debt and dividends paid for ordinary shareholders which were partially offset by proceeds from short-term loans and securitization debt and other investors. Net cash used in financing activities in 2024 was mainly due to repayment of bank loans which were partially offset by the net cash proceeds from the issuance of the 2029 Notes. Net cash used in financing activities in 2023 was mainly due to the repayment of long-term and short-term loans and share repurchase which were partially offset by the cash proceeds from long-term bank loans and securitization debt.</w:t>
      </w:r>
    </w:p>
    <w:p>
      <w:pPr>
        <w:spacing w:after="0" w:line="18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Under PRC laws and regulations, our subsidiaries are required to set aside at least 10% of their respective after-tax profits each year, if any, to statutory reserve funds, unless such reserve funds have reached 50% of their respective registered capital. These reserve funds are not distributable as cash dividends and dividends cannot be distributed until any losses from prior fiscal years have been offset.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In November 2023, our board of directors adopted a regular capital return policy to benefit our shareholders and ADS holders in the form of discretionary annual share repurchases, discretionary annual cash dividend declarations, or a combination thereof, commencing from the year 2024. Under the policy, our board of directors reserves the discretion relating to the determination of the form, timing, and amount of the capital return measures in any particular year, depending on our financial condition, results of operations, cash flow, capital requirements, and other relevant factors.</w:t>
      </w:r>
    </w:p>
    <w:p>
      <w:pPr>
        <w:spacing w:after="0" w:line="164"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In February 2024, pursuant to the regular capital return policy, our board of directors approved and authorized us to implement strategic capital return initiatives, which include share repurchases, from time to time for an aggregate value of up to US$300 million. In February 2025, pursuant to the regular capital return policy, our board of directors approved and authorized us to implement additional strategic capital return initiatives, which include</w:t>
      </w:r>
    </w:p>
    <w:p>
      <w:pPr>
        <w:spacing w:after="0" w:line="2" w:lineRule="exact"/>
        <w:rPr>
          <w:sz w:val="20"/>
          <w:szCs w:val="20"/>
          <w:color w:val="auto"/>
        </w:rPr>
      </w:pPr>
    </w:p>
    <w:p>
      <w:pPr>
        <w:ind w:left="120" w:hanging="4"/>
        <w:spacing w:after="0" w:line="253"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dividend of US$0.30 per ordinary share, or US$0.30 per ADS, to holders of ordinary shares and holders of ADSs, with an aggregate amount of approximately US$200 million, and (ii) share repurchases, from time to time, for an aggregate value of up to US$400 million of our ordinary shares and/or ADSs. In August 2025, our board of directors authorized a new share repurchase program under which we may repurchase up to an aggregate of US$5 billion of our outstanding ordinary shares and/or ADSs.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As of December 31, 2025, our principal sources of liquidity have been cash generated from operating activities, borrowings from third-party lenders, and the proceeds we received from our public offerings of ordinary shares and our offerings of convertible senior notes and exchangeable senior notes. Our cash and cash equivalents consist of cash on hand and liquid investments which are unrestricted as to withdrawal or use. Our financing activities consist of the issuance and sale of our ordinary shares, convertible senior notes and exchangeable senior notes to investors and borrowings from third-party lenders. As of December 31, 2025, we have loan facilities of up to RMB6.3 billion and we have drawn down RMB1.9 billion under such facilities. As of the date of this annual report, we have an outstanding amount of: (i) US$500 million in an aggregate principal amount of our 1.50% exchangeable senior notes due 2027, (ii) US$1.5 billion in an aggregate principal amount of our 0.75% convertible senior notes due 2029.</w:t>
      </w:r>
    </w:p>
    <w:p>
      <w:pPr>
        <w:spacing w:after="0" w:line="17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disclosed in this annual report, we have no outstanding bank loans or financial guarantees or similar commitments to guarantee the payment obligations of third parties. Based on our liquidity assessment, we believe that our cash flow from operations and proceeds from our financing activities will be sufficient to meet our anticipated cash needs, including our cash needs for working capital and capital expenditures, for the foreseeable future and for at least 12 months subsequent to the filing of this annual report. We may, however, require additional cash resources due to changing business conditions or other future developments, including any investments or acquisitions we may decide to pursue. See also “Item 3. Key Information —D. Risk Factors—Risks Relating to Our Business and Industry—We may need additional capital and we may not be able to obtain 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air ticketing business, we are required by the China Air Transport Association and International Air Transport Association to enter into guarantee arrangements and to pay deposits. The unused deposits are repaid at the end of the guaranteed period on an annual basis. As of December 31, 2025, the total quota of the air tickets that we were entitled to issue was up to RMB1.5 billion (US$209 million). The total amount of the deposit we paid was RMB159 million (US$23 million).</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Based on the guarantee arrangements, the maximum amount of the future payments is approximately RMB1.3 billion (US$186 million), which is the guaranteed amount of the air ticket that we could issue rather than a financial guarantee. We will be liable to pay only when we issue the air tickets to our users and such payable is included in the accounts payable. Therefore, we believe the guarantee arrangements do not constitute any contractual and constructive obligation of us and has not recorded any liability beyond the amount of the tickets that have already been issued.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material cash requirements as of December 31, 2025 primarily included our debt obligations and capital expenditure commitments.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debt obligations consist of the principal and interest amounts in connection with our convertible and exchangeable senior notes, term loans and other debts. Payment due within one year from December 31, 2025 for our debt obligations amounted to RMB18.5 billion (US$2.6 billion). Payment due after one year from December 31, 2025 for our debt obligations amounted to RMB11.6 billion (US$1.7 billion).</w:t>
      </w:r>
    </w:p>
    <w:p>
      <w:pPr>
        <w:spacing w:after="0" w:line="176"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our major debt obligations as of December 31, 2025 which require payments in subsequent periods. We were in compliance with all of the applicable debt covenants as of December 31, 2025.</w:t>
      </w:r>
    </w:p>
    <w:p>
      <w:pPr>
        <w:spacing w:after="0" w:line="67" w:lineRule="exact"/>
        <w:rPr>
          <w:sz w:val="20"/>
          <w:szCs w:val="20"/>
          <w:color w:val="auto"/>
        </w:rPr>
      </w:pPr>
    </w:p>
    <w:p>
      <w:pPr>
        <w:ind w:left="1080" w:right="40" w:hanging="424"/>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we issued US$500 million in aggregate principal amount of 1.50% exchangeable senior notes due 2027, or the 2020 Exchangeable Notes. The 2020 Exchangeable Notes are exchangeable, at the option of the holders and subject to certain conditions, into cash, ADSs of H World, or a combination thereof, at our election subject to certain conditions. The currently effective exchange rate of the 2020 Exchangeable Notes is 27.6247 H World ADSs per US$1,000 principal amount of the notes as of December 31, 2025. The 2020 Exchangeable Notes bear interest at a rate of 1.50% per year, payable semiannually beginning on January 1, 2021. In addition, we may redeem the 2020 Exchangeable Notes subject to certain conditions.</w:t>
      </w:r>
    </w:p>
    <w:p>
      <w:pPr>
        <w:spacing w:after="0" w:line="92" w:lineRule="exact"/>
        <w:rPr>
          <w:rFonts w:ascii="Times New Roman" w:cs="Times New Roman" w:eastAsia="Times New Roman" w:hAnsi="Times New Roman"/>
          <w:sz w:val="18"/>
          <w:szCs w:val="18"/>
          <w:color w:val="auto"/>
        </w:rPr>
      </w:pPr>
    </w:p>
    <w:p>
      <w:pPr>
        <w:jc w:val="both"/>
        <w:ind w:left="1080" w:right="60" w:hanging="424"/>
        <w:spacing w:after="0" w:line="257"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issued US$1.5 billion in aggregate principal amount of 0.75% convertible senior notes due 2029, or the 2029 Notes. The 2029 Notes are convertible, at the option of the holders and subject to certain conditions, into our ADSs at a currently effective conversion rate of 15.1193 ADSs per US$1,000 principal amount of the notes as of December 31, 2025. The 2029 Notes bear interest at a rate of</w:t>
      </w:r>
    </w:p>
    <w:p>
      <w:pPr>
        <w:spacing w:after="0" w:line="1" w:lineRule="exact"/>
        <w:rPr>
          <w:rFonts w:ascii="Times New Roman" w:cs="Times New Roman" w:eastAsia="Times New Roman" w:hAnsi="Times New Roman"/>
          <w:sz w:val="18"/>
          <w:szCs w:val="18"/>
          <w:color w:val="auto"/>
        </w:rPr>
      </w:pPr>
    </w:p>
    <w:p>
      <w:pPr>
        <w:ind w:left="108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0.75% per year, payable semiannually beginning on December 15, 2024. Holders of the 2029 Notes may require us to repurchase all or part of their 2029 Notes for cash on June 15, 2027 at a repurchase price equal to 100% of the principal amount of the 2029 Notes to be repurchased, plus accrued and unpaid interest to, but excluding, the repurchase date, in accordance with the terms and conditions set forth in the indenture, as amended and supplemented, for the 2029 Notes.</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capital expenditure commitments primarily consist of contracted future purchases of property, equipment, and software. The unpaid purchase price due within one year after December 31, 2025 was RMB24 million (US$3.4 million) as of December 31, 2025. The unpaid purchase price due after one year after December 31, 2025 was RMB1 million (US$0.2 million) as of December 31, 2025.</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and other financing alternatives. We will continue to make cash commitments, including capital expenditures, to support the growth of our business.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Other than as discussed above, we did not have any significant capital and other commitments, long-term obligations, or guarantees as of December 31, 2025. While the above indicates our material cash requirements as of December 31, 2025, the actual amounts we are eventually required to pay may be different in the event that any agreements are renegotiated, canceled or terminated.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Trip.com Group Limited is a holding company with no material operations of its own. We conduct our operations primarily through our subsidiaries, and the VIEs and VIEs’ subsidiaries in China. As a result, our ability to pay dividends mainly depends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based on PRC accounting standards and regulations. Under PRC law, each of our subsidiaries, and the VIEs and VIEs’ subsidiaries in China is required to set aside at least 10% of its after-tax profits each year, if any, to fund certain statutory reserve funds until such reserve funds reach 50% of its registered capital. Some of our PRC subsidiaries and VIEs are required to allocate a portion of their after-tax profits after contribution of statutory reserve funds based on PRC accounting standards to discretionary surplus funds at its discretion. The statutory reserve funds are not distributable as cash dividends. Remittance of dividends by a wholly foreign-owned company out of China is subject to examination by the banks designated by SAFE.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2"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ability to transfer cash and other assets within our organization may be subject to conditions and restrictions pursuant to the applicable laws and regulations. For example, under the PRC laws and regulations, Trip.com Group Limited may provide funding to its PRC subsidiaries only through capital contributions or loans, and to the VIEs only through loans, subject to satisfaction of applicable government registration and approval requirements. Trip.com Group Limited’s ability to pay dividends to the shareholders and the ADS holders and to service any debt it may incur may depend upon dividends paid by its PRC subsidiaries and license and service fees paid by the VIEs. Additionally, under the PRC laws and regulations, our PRC subsidiaries and the VIEs are subject to certain restrictions with respect to payment of dividends or other transfers of any of their net assets to us. Remittance of dividends by a wholly foreign-owned enterprise out of China is also subject to examination by the banks designated by the State Administration of Foreign Exchange, or SAFE, and the People’s Bank of China. These restrictions are benchmarked against the paid-up capital and the statutory reserve funds of our PRC subsidiaries and the net assets of the VIEs in which we have no legal ownership. As of December 31, 2023, 2024, and 2025, the total amount of such restrictions to which our PRC subsidiaries and the VIEs are subject was RMB7.6 billion, RMB8.8 billion, and RMB10.5 billion (US$1.5 billion), respectively. Furthermore, cash transfers from our PRC subsidiaries and the VIEs to entities outside of China are subject to PRC government regulation on currency conversion or cross-border payment. As a result, the funds in our PRC subsidiaries or the VIEs in China may not be available to fund operations or for other use outside of China due to interventions in, or the imposition of restrictions and limitations on, the ability of our holding company, our subsidiaries, or the VIEs by the PRC government on such currency conversion. For details, see “Item 3. Key Information—D. Risk Factors—Risks Relating to Multi-jurisdictional Operations—Restrictions on currency exchange may adversely affect our operations.”</w:t>
      </w:r>
    </w:p>
    <w:p>
      <w:pPr>
        <w:spacing w:after="0" w:line="19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company has established a centralized cash management policy to direct how funds are transferred between Trip.com Group Limited, our subsidiaries, and the VIEs to improve the efficiency and ensure the security of cash management, and cash is centrally managed by the treasury. Funds are transferred among Trip.com Group Limited, our subsidiaries, and the VIEs through our cash pooling structure, intercompany loans, and deposits or entrusted loans, depending on the circumstances and taking the regulatory and taxation requirements into consideration.</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we will distribute dividends in the future, subject to applicable laws. Even if our board of directors determines to distribute dividends, the form, frequency, and amount of our dividends will depend upon our future operations and earnings, capital requirements and surplus, general financial condition, contractual restrictions, potential tax implications, and other factors as the board of directors may deem relevant. Any dividend we declare will be paid to the holders of ADSs, subject to the terms of the deposit agreement, to the same extent as holders of our ordinary shares, less the fees and expenses payable under the deposit agreement. Any dividend we declare will be distributed by the depositary bank to the holders of ADSs. Cash dividends on our ordinary shares, including those represented by the ADSs, if any, will be paid in U.S. dollars. For more details, see “Item 8. Financial Information—A. Consolidated Statements and Other Financial Information—Dividend Policy.”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2023, 2024, and 2025, Trip.com Group Limited made no capital contributions to its subsidiaries.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Trip.com Group Limited’s cash flows of loan funding provided to its subsidiaries, net of repayments received, were net cash inflows of RMB1.8 billion, net cash inflows of RMB1.4 billion, and net cash outflows of RMB4.4 billion,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2023, 2024, and 2025, our subsidiaries did not extend any loan funding to Trip.com Group Limited.</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VIEs’ cash flows of loan funding provided to our subsidiaries, net of repayments received, were net cash outflows of RMB1.2 billion, net cash outflows of RMB2.0 billion, and net cash outflows of RMB1.2 billion, respectively.</w:t>
      </w:r>
    </w:p>
    <w:p>
      <w:pPr>
        <w:spacing w:after="0" w:line="162"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For the years ended December 31, 2023, 2024, and 2025, the VIEs’ cash flows of loan funding received from our subsidiaries, net of repayments made, were net cash inflows of RMB0.8 billion, net cash outflows of RMB1.2 billion, and net cash inflows of RMB4.3 billion, respectively.</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82"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no subsidiary paid dividends or made other distributions to our Cayman Islands holding company. For the years ended December 31, 2023, 2024 and 2025, our PRC subsidiaries made dividend distributions in an aggregate amount of RMB7.2 billion, RMB9.7 billion, and RMB14.7 billion to their holding company in Hong Kong, Ctrip.com (Hong Kong) Limited, respectively. These dividend distributions were subject to 5% withholding tax as disclosed in Note 15 to our consolidated financial statements included elsewhere in this annual report on Form 20-F.</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Trip.com Group Limited has not declared or paid any cash dividends for the years ended December 31, 2023 and 2024. In February 2025, pursuant to the regular capital return policy, our board of directors approved a cash dividend of US$0.30 per ordinary share, or US$0.30 per ADS, to holders of ordinary shares and holders of ADSs. The aggregate amount of the dividend was approximately US$200 million. Our board of directors has complete discretion as to whether we will distribute dividends in the future, subject to applicable laws. See “Item 8. Financial Information—A. Consolidated Statements and Other Financial Information—Dividend Policy.” For the material Cayman Islands, PRC, and U.S. federal income tax consequences of an investment in our ADSs or ordinary shares, see “Item 10. Additional Information—E. Taxation.”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 xml:space="preserve">   Research and Development, Patents and Licenses, etc.</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consist of continuing to develop our proprietary technology as well as incorporating new technologies from third parties. We intend to continue to upgrade our proprietary booking, customer relationship management and yield management software to keep up with the continued growth in our transaction volume and the rapidly evolving technological conditions. We will also seek to continue to enhance our electronic confirmation system and promote such system with more hotel suppliers, as we believe that the electronic confirmation system is a cost-effective and convenient way for hotels to interface with us.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have utilized and will continue to utilize the products and services of third parties to support our technology platform.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 xml:space="preserve">   Trend Information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since January 1, 2026 that are reasonably likely to have a material effect on our net revenues, income, profitability, liquidity or capital resources, or that caused the disclosed financial information to be not necessarily indicative of future operating results or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 xml:space="preserve">   Critical Accounting Estimates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our critical accounting estimates, see “Item 5. Operating and Financial Review and Prospects—A. Operating Results—Critical Accounting Policies and Estimates.”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 xml:space="preserve">   Directors and Senior Management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names of our current directors and senior management, their ages as of the date of this annual report, and the principal positions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Trip.com Group Limited held by them are as follows: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84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640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3"/>
        </w:trPr>
        <w:tc>
          <w:tcPr>
            <w:tcW w:w="20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Jianzhang Liang</w:t>
            </w:r>
          </w:p>
        </w:tc>
        <w:tc>
          <w:tcPr>
            <w:tcW w:w="18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Co-founder; Executive Chairman of the Board</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Jane Jie Sun</w:t>
            </w:r>
          </w:p>
        </w:tc>
        <w:tc>
          <w:tcPr>
            <w:tcW w:w="2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Cindy Xiaofan Wang</w:t>
            </w:r>
          </w:p>
        </w:tc>
        <w:tc>
          <w:tcPr>
            <w:tcW w:w="2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Executive Vice President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Xing Xiong</w:t>
            </w:r>
          </w:p>
        </w:tc>
        <w:tc>
          <w:tcPr>
            <w:tcW w:w="2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Neil Nanpeng Shen</w:t>
            </w:r>
            <w:r>
              <w:rPr>
                <w:rFonts w:ascii="Times New Roman" w:cs="Times New Roman" w:eastAsia="Times New Roman" w:hAnsi="Times New Roman"/>
                <w:sz w:val="25"/>
                <w:szCs w:val="25"/>
                <w:color w:val="auto"/>
                <w:vertAlign w:val="superscript"/>
              </w:rPr>
              <w:t>(1)(2)</w:t>
            </w:r>
          </w:p>
        </w:tc>
        <w:tc>
          <w:tcPr>
            <w:tcW w:w="2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Co-founder; Independent Director</w:t>
            </w:r>
          </w:p>
        </w:tc>
      </w:tr>
      <w:tr>
        <w:trPr>
          <w:trHeight w:val="216"/>
        </w:trPr>
        <w:tc>
          <w:tcPr>
            <w:tcW w:w="20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Gabriel Li</w:t>
            </w:r>
            <w:r>
              <w:rPr>
                <w:rFonts w:ascii="Times New Roman" w:cs="Times New Roman" w:eastAsia="Times New Roman" w:hAnsi="Times New Roman"/>
                <w:sz w:val="25"/>
                <w:szCs w:val="25"/>
                <w:color w:val="auto"/>
                <w:vertAlign w:val="superscript"/>
              </w:rPr>
              <w:t>(1)(2)</w:t>
            </w:r>
          </w:p>
        </w:tc>
        <w:tc>
          <w:tcPr>
            <w:tcW w:w="2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Vice Chairman of the Board; Independent Director</w:t>
            </w:r>
          </w:p>
        </w:tc>
      </w:tr>
      <w:tr>
        <w:trPr>
          <w:trHeight w:val="216"/>
        </w:trPr>
        <w:tc>
          <w:tcPr>
            <w:tcW w:w="2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5"/>
                <w:szCs w:val="25"/>
                <w:color w:val="auto"/>
                <w:vertAlign w:val="subscript"/>
              </w:rPr>
              <w:t>JP Gan</w:t>
            </w:r>
            <w:r>
              <w:rPr>
                <w:rFonts w:ascii="Times New Roman" w:cs="Times New Roman" w:eastAsia="Times New Roman" w:hAnsi="Times New Roman"/>
                <w:sz w:val="11"/>
                <w:szCs w:val="11"/>
                <w:color w:val="auto"/>
              </w:rPr>
              <w:t>(1)(2)</w:t>
            </w:r>
          </w:p>
        </w:tc>
        <w:tc>
          <w:tcPr>
            <w:tcW w:w="2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May Yihong Wu</w:t>
            </w:r>
          </w:p>
        </w:tc>
        <w:tc>
          <w:tcPr>
            <w:tcW w:w="2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Iris Yang Xiao</w:t>
            </w:r>
          </w:p>
        </w:tc>
        <w:tc>
          <w:tcPr>
            <w:tcW w:w="2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Rong Luo</w:t>
            </w:r>
          </w:p>
        </w:tc>
        <w:tc>
          <w:tcPr>
            <w:tcW w:w="2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Notes:</w:t>
      </w:r>
    </w:p>
    <w:p>
      <w:pPr>
        <w:spacing w:after="0" w:line="109"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10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the currently effective articles of association of our company, our board of directors consists of eight directors, including without limitation (i) three directors appointed by our co-founders consisting of Messrs. James Jianzhang Liang, Neil Nanpeng Shen, Qi Ji, and Min Fan, subject to the approval of a majority of our independent directors; and (ii) one director who is the current chief executive officer of our company. Each of our directors will hold office until such director’s successor is elected and duly qualified, or until such director’s earlier death, bankruptcy, insanity, resignation or removal. There are no family relationships among any of the directors or executive officers of our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James Jianzhang Liang </w:t>
      </w:r>
      <w:r>
        <w:rPr>
          <w:rFonts w:ascii="Times New Roman" w:cs="Times New Roman" w:eastAsia="Times New Roman" w:hAnsi="Times New Roman"/>
          <w:sz w:val="18"/>
          <w:szCs w:val="18"/>
          <w:color w:val="auto"/>
        </w:rPr>
        <w:t>is one of the co-founders and the executive chairman of our company. He has served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our inception and has been the chairman of the board since August 2003. Mr. Liang served as our chief executive officer from 2000 to 2006 and from March 2013 to November 2016. Mr. Liang has served as a director of BTG Hotels Group (SHSE: 600258) since January 2017, and a director of Tongcheng Travel Holdings Limited (formerly known as Tongcheng-Elong Holdings Limited) (SEHK: 0780) since 2016. Mr. Liang formerly served on the boards of MakeMyTrip Limited (Nasdaq: MMYT), Sina Corporation (Nasdaq: SINA, delisted and privatized in March 2021), Tuniu Corporation (Nasdaq: TOUR), eHi Car Services Limited (NYSE: EHIC, delisted and privatized in April 2019), 51job, Inc (Nasdaq: JOBS, delisted and privatized in May 2022), Jiayuan.com International Ltd. (Nasdaq: DATE, delisted and privatized in May 2016), and Homeinns Hotel Group (Nasdaq: HMIN, delisted and privatized in April 2016). Mr. Liang has won many accolades for his contributions to the Chinese travel industry, including Best CEO in the internet category in the 2016 All-Asia Executive Team Rankings by Institutional Investor and 2015 China’s Business Leader of the Year by Forbes. Mr. Liang obtained his master’s and bachelor’s degrees from Georgia Institute of Technology in the United States.</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Jane Jie Sun </w:t>
      </w:r>
      <w:r>
        <w:rPr>
          <w:rFonts w:ascii="Times New Roman" w:cs="Times New Roman" w:eastAsia="Times New Roman" w:hAnsi="Times New Roman"/>
          <w:sz w:val="18"/>
          <w:szCs w:val="18"/>
          <w:color w:val="auto"/>
        </w:rPr>
        <w:t>has served as the chief executive officer of our company, as well as a member of the board of directors, since November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Sun joined our company as chief financial officer in 2005, and subsequently served as chief operating officer and co-president prior to the appointment as chief executive officer. Ms. Sun has been widely recognized for her extensive experience in operating and managing online travel businesses, mergers and acquisitions, and financial reporting and operations, and has received numerous accolades in the industry. For instance, Ms. Sun was named one of Fortune’s Top 50 Most Powerful Women in Business for consecutive years and was also featured on Forbes World’s Most Powerful Women List and Forbes Asia’s Power Businesswomen List. Forbes also recognized Ms. Sun as one of the Emergent 25: Asia’s Rising Star Businesswomen and one of the Most Influential and Outstanding Businesswomen in China. Ms. Sun is a JPMorgan Asia Pacific Council member, a Standard Chartered Bank International Advisory Board member, vice chair of the World Travel &amp; Tourism Council, and board member of HeritageSG, a subsidiary of the National Heritage Board of Singapore. Ms. Sun is also a board member of Business China, established by Singapore’s founding Prime Minister Mr. Lee Kuan Yew. Ms. Sun received her bachelor’s degree in science in accounting from the Fisher School of Accounting at the University of Florida in August 1992 with high honors. She obtained her master of laws (LL.M.) degree from Peking University Law School in July 2010. She also attended the Stanford Executive Program and graduated in 2025. Ms. Sun has been a director of MakeMyTrip Limited (Nasdaq: MMYT) since August 2019. She also served as a director of TripAdvisor, Inc. (Nasdaq: TRIP) from July 2020 to June 2025 and an independent director of AIA Group Limited (SEHK: 1299) from June 2021 to May 2025.</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Cindy Xiaofan Wang </w:t>
      </w:r>
      <w:r>
        <w:rPr>
          <w:rFonts w:ascii="Times New Roman" w:cs="Times New Roman" w:eastAsia="Times New Roman" w:hAnsi="Times New Roman"/>
          <w:sz w:val="18"/>
          <w:szCs w:val="18"/>
          <w:color w:val="auto"/>
        </w:rPr>
        <w:t>has served as our chief financial officer since November 2013 and executive vice president since May 2016. Prior to that,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our Vice President since January 2008. Ms. Wang joined us in December 2001 and has held a number of managerial positions at our company.</w:t>
      </w: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Ms. Wang won the Best CFO Award by Institutional Investor in the 2017 All-Asia Executive Team Rankings in 2017, and China Best CFO Leadership Award by SNAI/ACCA/Korn Ferry in 2021. Previously, Ms. Wang worked with PricewaterhouseCoopers Zhong Tian CPAs Limited Company from 1997 to 1999. Ms. Wang also served on the board of MakeMyTrip Limited (Nasdaq: MMYT) from August 2019 to May 2024 and on the board of H World Group Limited (Nasdaq: HTHT; SEHK: 1179) from January 2018 to July 2020. Ms. Wang received a Master of Business Administration from Massachusetts Institute of Technology in 2013 and obtained her bachelor’s degree from Shanghai Jiao Tong University in 1997. Ms. Wang is a Certified Public Accountant (CPA).</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Xing Xiong </w:t>
      </w:r>
      <w:r>
        <w:rPr>
          <w:rFonts w:ascii="Times New Roman" w:cs="Times New Roman" w:eastAsia="Times New Roman" w:hAnsi="Times New Roman"/>
          <w:sz w:val="18"/>
          <w:szCs w:val="18"/>
          <w:color w:val="auto"/>
        </w:rPr>
        <w:t>has served as our chief operating officer since February 2021, and is currently in charge of air ticketing, accommodation,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technology, international business, and other areas of our group. Mr. Xiong became our executive vice president in 2016. He was appointed senior vice president of our Trip.com brand in 2015, chief executive officer of our air ticketing business in 2014, and vice president of technology in 2013. Mr. Xiong joined us as senior R&amp;D director in 2013. Prior to joining us, Mr. Xiong held several management positions in the research and development teams of Microsoft and Expedia. He has over 20 years of technology and management experience. Mr. Xiong has also served on the board of directors of MakeMyTrip Limited (Nasdaq: MMYT) since August 2019. He holds a bachelor’s degree in Computer Science from Peking University, and a master’s degree in Computer Science from Northeastern University in the United States.</w:t>
      </w:r>
    </w:p>
    <w:p>
      <w:pPr>
        <w:spacing w:after="0" w:line="183"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Neil Nanpeng Shen </w:t>
      </w:r>
      <w:r>
        <w:rPr>
          <w:rFonts w:ascii="Times New Roman" w:cs="Times New Roman" w:eastAsia="Times New Roman" w:hAnsi="Times New Roman"/>
          <w:sz w:val="17"/>
          <w:szCs w:val="17"/>
          <w:color w:val="auto"/>
        </w:rPr>
        <w:t>is one of the co-founders of our company and has been our company’s director since our inception and an independent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since October 2008. Neil Nanpeng Shen founded HSG (formerly known as Sequoia China) in 2005 and has been serving as the founding managing partner since then. Mr. Shen served as our president from August 2003 to October 2005 and as chief financial officer from 2000 to October 2005.</w:t>
      </w:r>
    </w:p>
    <w:p>
      <w:pPr>
        <w:spacing w:after="0" w:line="1" w:lineRule="exact"/>
        <w:rPr>
          <w:sz w:val="20"/>
          <w:szCs w:val="20"/>
          <w:color w:val="auto"/>
        </w:rPr>
      </w:pPr>
    </w:p>
    <w:p>
      <w:pPr>
        <w:jc w:val="both"/>
        <w:ind w:left="120" w:right="140"/>
        <w:spacing w:after="0" w:line="255" w:lineRule="auto"/>
        <w:rPr>
          <w:sz w:val="20"/>
          <w:szCs w:val="20"/>
          <w:color w:val="auto"/>
        </w:rPr>
      </w:pPr>
      <w:r>
        <w:rPr>
          <w:rFonts w:ascii="Times New Roman" w:cs="Times New Roman" w:eastAsia="Times New Roman" w:hAnsi="Times New Roman"/>
          <w:sz w:val="18"/>
          <w:szCs w:val="18"/>
          <w:color w:val="auto"/>
        </w:rPr>
        <w:t>Mr. Shen also co-founded and served as non-executive co-chairman of Homeinns Hotel Group (formerly known as Home Inns &amp; Hotels Management Inc.), a leading economy hotel chain in China, which commenced operations in July 2002. Mr. Shen received his master’s degree from Yale University in November 1992 and his bachelor’s degree in applied mathematics from Shanghai Jiao Tong University in July 1988.</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Gabriel Li </w:t>
      </w:r>
      <w:r>
        <w:rPr>
          <w:rFonts w:ascii="Times New Roman" w:cs="Times New Roman" w:eastAsia="Times New Roman" w:hAnsi="Times New Roman"/>
          <w:sz w:val="18"/>
          <w:szCs w:val="18"/>
          <w:color w:val="auto"/>
        </w:rPr>
        <w:t>has served at different times on our board of directors since March 2000. Mr. Li has been vice chairman of our board since August</w:t>
      </w:r>
    </w:p>
    <w:p>
      <w:pPr>
        <w:spacing w:after="0" w:line="29"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2003 and an independent director since October 2003. Mr. Li has been serving as the managing partner and a member of the investment committee of Orchid Asia Group Management Limited since August 2004. Mr. Li was a non-executive director of Qeeka Home (Cayman) Inc. (SEHK: 1739) from April 2015 to November 2024, and a director of Sangfor Technologies Inc. (SZSE: 300454) from January 2017 to December 2019. Mr. Li graduated from the University of California in Berkeley, the United States, with a bachelor’s degree in chemical engineering in May 1990. He received his master of science degree in chemical engineering practice from the Massachusetts Institute of Technology in the United States in September 1991, and his master’s degree in business administration from Stanford University Business School in the United States in June 1995.</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JP Gan </w:t>
      </w:r>
      <w:r>
        <w:rPr>
          <w:rFonts w:ascii="Times New Roman" w:cs="Times New Roman" w:eastAsia="Times New Roman" w:hAnsi="Times New Roman"/>
          <w:sz w:val="18"/>
          <w:szCs w:val="18"/>
          <w:color w:val="auto"/>
        </w:rPr>
        <w:t>has served as our director since April 2002, and as an independent director since July 2005. Mr. Gan has been a founding partner of 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Limited since 2019. From December 2006 to June 2019, Mr. Gan was a managing partner of Qiming Venture Partners. Mr. Gan has been an independent director of BiliBili Inc. (Nasdaq: BILI, SEHK: 9626) since January 2015. Mr. Gan obtained his master’s degree in business administration from the University of Chicago Booth School of Business in June 1999 and his bachelor’s degree in business administration from the University of Iowa in May 1994.</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May Yihong Wu </w:t>
      </w:r>
      <w:r>
        <w:rPr>
          <w:rFonts w:ascii="Times New Roman" w:cs="Times New Roman" w:eastAsia="Times New Roman" w:hAnsi="Times New Roman"/>
          <w:sz w:val="18"/>
          <w:szCs w:val="18"/>
          <w:color w:val="auto"/>
        </w:rPr>
        <w:t>has served as our director since February 2026. Ms. Wu has been serving as an independent director, the chairwoman of the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a member of the compensation committee of MakeMyTrip Limited (Nasdaq: MMYT) since May 2024, an independent non-executive director and chairwoman of the audit committee of Alibaba Health Information Technology Limited (SEHK: 0241) since August 2023, an independent non-executive director and chairwoman of the audit committee of Swire Properties Limited (SEHK: 1972) since May 2017, and an independent director and a member of the corporate governance and nominating committee of Noah Holdings Limited (Nasdaq: NOAH; SEHK: 6686) since November 2010, where she was also a member of the compensation committee from November 2010 to May 2015 and has been the chairwoman of the compensation committee since May 2015. From July 2019 to May 2023, Ms. Wu also served as a board adviser of Homeinns Hotel Group, where she also served as the chief strategy officer from May 2010 to June 2019 and chief financial officer from July 2006 to April 2010. Ms. Wu holds an MBA degree from the Kellogg School of Management at Northwestern University, a master’s degree in economics from Brooklyn College of the City University of New York, and a bachelor’s degree in biochemistry from Fudan University.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Iris Yang Xiao </w:t>
      </w:r>
      <w:r>
        <w:rPr>
          <w:rFonts w:ascii="Times New Roman" w:cs="Times New Roman" w:eastAsia="Times New Roman" w:hAnsi="Times New Roman"/>
          <w:sz w:val="18"/>
          <w:szCs w:val="18"/>
          <w:color w:val="auto"/>
        </w:rPr>
        <w:t>has served as our director since February 2026. Ms. Xiao served as an investment analyst of Capital International Investors, Hong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Kong from June 2020 to June 2025. Prior to that, Ms. Xiao worked at Principal Global Investors from March 2013 to March 2020, including as a portfolio manager and as an equity analyst. Prior to that, Ms. Xiao served as a portfolio manager of Ping An of China Asset Management from March 2010 to February 2013. Ms. Xiao holds a bachelor’s degree in international economics and trade from Shanghai Jiao Tong University and a master’s degree in global finance from the New York University Stern Business School and the Hong Kong University of Science and Technology.</w:t>
      </w:r>
    </w:p>
    <w:p>
      <w:pPr>
        <w:spacing w:after="0" w:line="183"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Rong Luo </w:t>
      </w:r>
      <w:r>
        <w:rPr>
          <w:rFonts w:ascii="Times New Roman" w:cs="Times New Roman" w:eastAsia="Times New Roman" w:hAnsi="Times New Roman"/>
          <w:sz w:val="17"/>
          <w:szCs w:val="17"/>
          <w:color w:val="auto"/>
        </w:rPr>
        <w:t>has served as our director since February 2025. Mr. Luo has served as the executive vice president of Baidu since October 2024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previously served as the chief financial officer of Baidu from November 2021 to October 2024. Prior to joining Baidu, Mr. Luo served as the chief financial officer of TAL Education Group (NYSE: TAL) from November 2014 to October 2021 and played several key management roles. Prior to that, Mr. Luo was the chief financial officer of eLong Inc. from 2013 to 2014. Before that, Mr. Luo held different financial management positions at Lenovo Group and Microsoft. Mr. Luo holds bachelor’s degrees in both information management and systems and economics from Peking University, a master’s degree in management science and engineering from Tsinghua University, and a Ph.D. degree in management science from Peking University.</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 xml:space="preserve">   Compensation</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a standard form of director agreement with each of our directors. Under these agreements, we paid cash compensation (inclusive of directors’ fees) to our directors in an aggregate amount of US$1.9 million in 2025. Directors are reimbursed for all expenses incurred in connection with each Board of Directors meeting and when carrying out their duties as directors of our company. See “Item 6. Directors, Senior Management and Employees—B. Compensation—Employees’ Share Incentive Plans” for options granted to our directors in 2025.</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We have entered into standard forms of employment agreements with our executive officers. Under these agreements, we paid cash compensation to our executive officers in an aggregate amount of US$2.3 million in 2025, excluding compensation paid to James Jianzhang Liang, Min Fan, and Jane Jie Sun, who also served and received compensation as our executive directors in 2025. These agreements provide for terms of service, salary and additional cash compensation arrangements, all of which have been reflected in the 2025 aggregate compensation amount. See “Item 6. Directors, Senior Management and Employees—B. Compensation—Employees’ Share Incentive Plans” for options granted to our executive officers in 2025.</w:t>
      </w:r>
    </w:p>
    <w:p>
      <w:pPr>
        <w:spacing w:after="0" w:line="168"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PRC subsidiaries are required by law to make contributions equal to certain percentages of each employee’s salary for his or her pension insurance, medical insurance, housing fund, unemployment and other statutory benefits. Except for the above statutory contributions, we have not set aside or accrued any amount to provide pension, retirement or other similar benefits to our executive officers and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Share Incentive Plans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made share-based awards under five share incentive plans, namely, the Global Share Incentive Plan, as amended and restated in July 2018 and further amended and restated in December 2019 and February 2026, which we refer to as the Third A&amp;R Global Plan, the 2007 Share Incentive Plan, the 2005 Employees’ Stock Option Plan, the 2003 Employees’ Stock Option Plan, and the 2000 Employees’ Stock Option Plan. The purpose of these plans is to attract and retain the best available personnel for positions of substantial responsibility, to provide additional incentive to employees, officers and directors and to promote the success of our business. Our board of directors believes that our company’s long-term success is dependent upon our ability to attract and retain superior individuals who, by virtue of their ability and qualifications, make important contributions to our business.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2007 Share Incentive Plan, the 2005 Employees’ Stock Option Plan, the 2003 Employees’ Stock Option Plan, and the 2000 Employees’ Stock Option Plan have all expired. Under the Third A&amp;R Global Plan, the maximum aggregate number of ordinary shares that may be issued pursuant to awards was 197,907,440 as of the first business day of 2026, with annual increases on January 1 of each subsequent calendar year by the number of ordinary shares representing 3% of our then total issued and outstanding share capital as of December 31 of the preceding year until the termination of the plan. Under the 2007 Share Incentive Plan, options to purchase 11,153,600 shares were granted and outstanding as of March 31, 2026. Under the Third A&amp;R Global Plan, options to purchase 84,544,640 shares and 693,179 restricted share units were granted and outstanding as of March 31, 2026.</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extended, from time to time, the exercise period of certain options that were granted to our directors and executive officers under our share incentive plans that would originally expire for certain number of years from their respective original expiration dates.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as of March 31, 2026, the outstanding options and restricted share units granted under our 2007 Share Incentive Plan and the Third A&amp;R Global Plan to the individual executive officers and directors named below. The table gives effect to the modifications described above, and includes options and restricted share units that were granted to the individuals named below and whose beneficial ownership has been assigned to third party irrevocable trusts or other third parties.</w:t>
      </w:r>
    </w:p>
    <w:p>
      <w:pPr>
        <w:sectPr>
          <w:pgSz w:w="11900" w:h="16838" w:orient="portrait"/>
          <w:cols w:equalWidth="0" w:num="1">
            <w:col w:w="11120"/>
          </w:cols>
          <w:pgMar w:left="320" w:top="482" w:right="459" w:bottom="1440" w:gutter="0" w:footer="0" w:header="0"/>
        </w:sectPr>
      </w:pP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0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760" w:type="dxa"/>
            <w:vAlign w:val="bottom"/>
            <w:gridSpan w:val="2"/>
            <w:vMerge w:val="continue"/>
          </w:tcPr>
          <w:p>
            <w:pPr>
              <w:spacing w:after="0"/>
              <w:rPr>
                <w:sz w:val="12"/>
                <w:szCs w:val="12"/>
                <w:color w:val="auto"/>
              </w:rPr>
            </w:pPr>
          </w:p>
        </w:tc>
        <w:tc>
          <w:tcPr>
            <w:tcW w:w="1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0" w:type="dxa"/>
            <w:vAlign w:val="bottom"/>
          </w:tcPr>
          <w:p>
            <w:pPr>
              <w:spacing w:after="0"/>
              <w:rPr>
                <w:sz w:val="1"/>
                <w:szCs w:val="1"/>
                <w:color w:val="auto"/>
              </w:rPr>
            </w:pPr>
          </w:p>
        </w:tc>
      </w:tr>
      <w:tr>
        <w:trPr>
          <w:trHeight w:val="176"/>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James Jianzhang Liang</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7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72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38,658,666</w:t>
            </w:r>
          </w:p>
        </w:tc>
        <w:tc>
          <w:tcPr>
            <w:tcW w:w="160" w:type="dxa"/>
            <w:vAlign w:val="bottom"/>
          </w:tcPr>
          <w:p>
            <w:pPr>
              <w:spacing w:after="0"/>
              <w:rPr>
                <w:sz w:val="16"/>
                <w:szCs w:val="16"/>
                <w:color w:val="auto"/>
              </w:rPr>
            </w:pPr>
          </w:p>
        </w:tc>
        <w:tc>
          <w:tcPr>
            <w:tcW w:w="1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20.25; 22.46; 30.93;</w:t>
            </w: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From January 9, 2014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40.62; 43.84; 26.13;</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to February 25, 2025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31.68; 25.92; 31.86;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18.18; 35.55; 0.01;</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41.91; 57.30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Jane Jie Sun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17,531,334</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9.82; 20.25; 22.46;</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From January 27, 2013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30.93; 40.62; 43.84;</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to February 25, 2025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26.13; 31.68; 25.92;</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31.86; 18.18; 35.55;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0.01; 41.91; 57.30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Cindy Xiaofan Wang</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0.00125; 18.18; 0.01;</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From December 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2019 to March 4, 2026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Xing Xiong</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25.92; 31.86; 18.18;</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From June 30, 2020 to</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37.41; 57.30; 50.86;</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March 4, 2026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Neil Nanpeng Shen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252,000</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9.82; 22.46; 30.93;</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From January 27, 2013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40.62; 43.84; 26.13;</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to March 4, 2026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31.68; 31.86; 18.18;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35.55; 37.41; 57.30;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Gabriel Li</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9.82; 22.455; 40.62;</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From January 27, 2013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43.84; 26.13; 31.68;</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to March 4, 2026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31.86; 18.18; 35.55;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37.41; 57.30; 50.86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JP Gan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115,000</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40.62; 43.84; 31.86;</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From November 14,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18.18; 35.55; 37.41;</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2016 to March 4, 2026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57.30; 50.86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May Yihong Wu</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16,000</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Iris Yang Xiao</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10,666</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52.27; 0.01</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-2605405</wp:posOffset>
            </wp:positionV>
            <wp:extent cx="699516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-1919605</wp:posOffset>
            </wp:positionV>
            <wp:extent cx="6995160" cy="685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6858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-685165</wp:posOffset>
            </wp:positionV>
            <wp:extent cx="6995160" cy="411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4114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-3985260</wp:posOffset>
            </wp:positionV>
            <wp:extent cx="6995160" cy="6940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6940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Date of Expiration</w:t>
      </w:r>
    </w:p>
    <w:p>
      <w:pPr>
        <w:spacing w:after="0" w:line="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November 9, 2026 to February 25, 2033</w:t>
      </w:r>
    </w:p>
    <w:p>
      <w:pPr>
        <w:spacing w:after="0" w:line="39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From September 28, 2026 to February 25, 2033</w:t>
      </w:r>
    </w:p>
    <w:p>
      <w:pPr>
        <w:spacing w:after="0" w:line="3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From December 4, 2027 to March 4, 2034 From June 30, 2028 to March 4, 2034</w:t>
      </w:r>
    </w:p>
    <w:p>
      <w:pPr>
        <w:spacing w:after="0" w:line="164"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From January 27, 2029 to March 4, 2034</w:t>
      </w:r>
    </w:p>
    <w:p>
      <w:pPr>
        <w:spacing w:after="0" w:line="200" w:lineRule="exact"/>
        <w:rPr>
          <w:sz w:val="20"/>
          <w:szCs w:val="20"/>
          <w:color w:val="auto"/>
        </w:rPr>
      </w:pPr>
    </w:p>
    <w:p>
      <w:pPr>
        <w:spacing w:after="0" w:line="37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From January 27, 2029 to March 4, 2034</w:t>
      </w:r>
    </w:p>
    <w:p>
      <w:pPr>
        <w:spacing w:after="0" w:line="35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From February 3, 2029 to March 4, 2034</w:t>
      </w:r>
    </w:p>
    <w:p>
      <w:pPr>
        <w:spacing w:after="0" w:line="140"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February 26, 2034 February 26, 2034</w:t>
      </w:r>
    </w:p>
    <w:p>
      <w:pPr>
        <w:spacing w:after="0" w:line="382" w:lineRule="exact"/>
        <w:rPr>
          <w:sz w:val="20"/>
          <w:szCs w:val="20"/>
          <w:color w:val="auto"/>
        </w:rPr>
      </w:pPr>
    </w:p>
    <w:p>
      <w:pPr>
        <w:sectPr>
          <w:pgSz w:w="11900" w:h="16838" w:orient="portrait"/>
          <w:cols w:equalWidth="0" w:num="2">
            <w:col w:w="9380" w:space="100"/>
            <w:col w:w="1640"/>
          </w:cols>
          <w:pgMar w:left="320" w:top="482" w:right="459" w:bottom="1440" w:gutter="0" w:footer="0" w:header="0"/>
          <w:type w:val="continuous"/>
        </w:sectPr>
      </w:pPr>
    </w:p>
    <w:p>
      <w:pPr>
        <w:ind w:left="340" w:right="440" w:hanging="224"/>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shares represented by all grants of options and/or restricted share units to the person accounts for less than 1% of our total outstanding ordinary shares. Such grants also include certain performance-based awards whose vesting conditions have not been met.</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82" w:right="45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summarize the terms of our 2007 Share Incentive Plan, which was amended and restated effective November 17, 2008.</w:t>
      </w:r>
    </w:p>
    <w:p>
      <w:pPr>
        <w:spacing w:after="0" w:line="22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committee designated by our board of directors, will administer the plan. The committee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board of directors, as appropriate, will determine the type or types of incentive share awards to be granted and the provisions and terms and conditions of each grant and may at their absolute discretion adjust the exercise price of an option grant. The exercise price per share subject to an option may be reduced by the committee or the full board of directors, without shareholder or option holder approval. The types of incentive share awards pursuant to the 2007 Share Incentive Plan include, among other things, an option, a restricted share award, a share appreciation right award and a restricted share unit award.</w:t>
      </w:r>
    </w:p>
    <w:p>
      <w:pPr>
        <w:spacing w:after="0" w:line="182"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Options and stock purchase rights granted under our plan are evidenced by a stock option agreement or a stock purchase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applicable, that sets forth the terms, conditions and limitations for each grant.</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our employees, directors and consultants or any of our related entities, which include our subsidiaries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which are not subsidiaries but are consolidated in our consolidated financial statements prepared under U.S. GAAP.</w:t>
      </w:r>
    </w:p>
    <w:p>
      <w:pPr>
        <w:spacing w:after="0" w:line="15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Acceleration of Options upon Corporate Transactions</w:t>
      </w:r>
      <w:r>
        <w:rPr>
          <w:rFonts w:ascii="Times New Roman" w:cs="Times New Roman" w:eastAsia="Times New Roman" w:hAnsi="Times New Roman"/>
          <w:sz w:val="18"/>
          <w:szCs w:val="18"/>
          <w:color w:val="auto"/>
        </w:rPr>
        <w:t>. The outstanding options will terminate and accelerate upon occurrence of a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corporate transaction where the successor entity does not assume our outstanding options under the plan. In such event, each outstanding option will become fully vested and immediately exercisable, and the transfer restrictions on the awards will be released and the repurchase or forfeiture rights will terminate immediately before the date of the change of control transaction provided that the grantee’s continuous service with us cannot be terminated before that date.</w:t>
      </w:r>
    </w:p>
    <w:p>
      <w:pPr>
        <w:spacing w:after="0" w:line="183"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Term of the Options</w:t>
      </w:r>
      <w:r>
        <w:rPr>
          <w:rFonts w:ascii="Times New Roman" w:cs="Times New Roman" w:eastAsia="Times New Roman" w:hAnsi="Times New Roman"/>
          <w:sz w:val="18"/>
          <w:szCs w:val="18"/>
          <w:color w:val="auto"/>
        </w:rPr>
        <w:t>. The term of each option grant should be stated in the stock option agreement, provided that the term would not exceed 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from the date of the grant, and in the case of incentive share options, five years from the date of the grant.</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or the incentive award agreement specifies, the vesting schedules. Currently,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vesting schedules were adopted for the incentive awards granted under the 2007 Share Incentive Plan. One of the vesting schedules is that one-third of the incentive awards vest 24 months after a specified vesting commencement date, an additional one-third vest 36 months after the specified vesting commencement date and the remaining one-third vest 48 months after the specified vesting commencement date, subject to other terms under the 2007 Share Incentive Plan and the incentive award agreement. Another type of vesting schedule is that one-fourth of the incentive awards vest every 12 months over a four-year vesting period starting from a specified vesting commencement date, subject to other terms under the 2007 Share Incentive Plan and the incentive award agreement. The last type of vesting schedule is that one-tenth of the incentive awards vest 12 months after a specified vesting commencement date, an additional three-tenth vest 24 months after the specified vesting commencement date, another three-tenth vest 36 months after the specified vesting commencement date and the remaining three-tenth vest 48 months after the specified vesting commencement date, subject to other terms under the 2007 Share Incentive Plan and the incentive award agreement.</w:t>
      </w:r>
    </w:p>
    <w:p>
      <w:pPr>
        <w:spacing w:after="0" w:line="185" w:lineRule="exact"/>
        <w:rPr>
          <w:sz w:val="20"/>
          <w:szCs w:val="20"/>
          <w:color w:val="auto"/>
        </w:rPr>
      </w:pPr>
    </w:p>
    <w:p>
      <w:pPr>
        <w:ind w:left="120" w:right="10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Other Equity Awards. </w:t>
      </w:r>
      <w:r>
        <w:rPr>
          <w:rFonts w:ascii="Times New Roman" w:cs="Times New Roman" w:eastAsia="Times New Roman" w:hAnsi="Times New Roman"/>
          <w:sz w:val="17"/>
          <w:szCs w:val="17"/>
          <w:color w:val="auto"/>
        </w:rPr>
        <w:t>In addition to stock options, we may also grant to our employees, directors and consultants or any of our related entities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 appreciation rights, restricted share awards, restricted share unit awards, deferred share awards, dividend equivalents and share payment awards, with such terms and conditions as our board of directors (or, if applicable, the compensation committee) may, subject to the terms of the plan, establish.</w:t>
      </w:r>
    </w:p>
    <w:p>
      <w:pPr>
        <w:spacing w:after="0" w:line="155"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Options to purchase our ordinary shares may not be transferred in any manner by the optionee other than by will or the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succession and may be exercised during the lifetime of the optionee only by the optionee.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Termination or Amendment of the Plan. </w:t>
      </w:r>
      <w:r>
        <w:rPr>
          <w:rFonts w:ascii="Times New Roman" w:cs="Times New Roman" w:eastAsia="Times New Roman" w:hAnsi="Times New Roman"/>
          <w:sz w:val="18"/>
          <w:szCs w:val="18"/>
          <w:color w:val="auto"/>
        </w:rPr>
        <w:t>The plan was terminated automatically in 2017. Our board of directors has the authority to amend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the plan subject to shareholder approval to the extent necessary to comply with applicable law, regulation or stock exchange rule. We must also generally obtain approval of our shareholders to (i) increase the number of shares available under the plan (other than any adjustment as described above), (ii) permit the grant of options with an exercise price that is below fair market value on the date of grant, (iii) extend the exercise period for an option beyond ten years from the date of grant, or (iv) result in a material increase in benefits or a change in eligibility requirements.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our Third A&amp;R Global Plan.</w:t>
      </w:r>
    </w:p>
    <w:p>
      <w:pPr>
        <w:spacing w:after="0" w:line="22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compensation committee of the board of directors, or a sub-committee delegated by our compensation committee,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 the plan. Notwithstanding the foregoing, the full board of directors will administer the plan if the compensation committee ceases to exist and our board of directors does not appoint a successor committee, or the full board of directors is required to conduct the general administration of the plan by applicable law. The designated administration authority, as appropriate, will determine the type or types of incentive share awards to be granted and the provisions and terms and conditions of each grant and may at its absolute discretion adjust the exercise price of an option grant. The exercise price per share subject to an option may be reduced by the designated administration authority, without shareholder or option holder approval. The types of incentive share awards pursuant to the Third A&amp;R Global Plan include, among other things, an option, a restricted share award, a share appreciation right award and a restricted share unit award.</w:t>
      </w:r>
    </w:p>
    <w:p>
      <w:pPr>
        <w:spacing w:after="0" w:line="185"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Options and stock purchase rights granted under our plan are evidenced by an award agreement, that sets forth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limitations for each grant.</w:t>
      </w:r>
    </w:p>
    <w:p>
      <w:pPr>
        <w:spacing w:after="0" w:line="158" w:lineRule="exact"/>
        <w:rPr>
          <w:sz w:val="20"/>
          <w:szCs w:val="20"/>
          <w:color w:val="auto"/>
        </w:rPr>
      </w:pPr>
    </w:p>
    <w:p>
      <w:pPr>
        <w:ind w:left="120" w:right="3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all members of our board of directors as well as employees and consultants (including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vehicles) of any of our related entities, which include our subsidiaries or any entities which are not subsidiaries but are consolidated in our consolidated financial statements prepared under U.S. GAAP.</w:t>
      </w:r>
    </w:p>
    <w:p>
      <w:pPr>
        <w:spacing w:after="0" w:line="173"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Term of the Options</w:t>
      </w:r>
      <w:r>
        <w:rPr>
          <w:rFonts w:ascii="Times New Roman" w:cs="Times New Roman" w:eastAsia="Times New Roman" w:hAnsi="Times New Roman"/>
          <w:sz w:val="18"/>
          <w:szCs w:val="18"/>
          <w:color w:val="auto"/>
        </w:rPr>
        <w:t>. The term of each option grant should be stated in the stock option agreement, provided that the term would not exceed 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from the date of the grant, and in the case of incentive share options, five years from the date of the grant.</w:t>
      </w:r>
    </w:p>
    <w:p>
      <w:pPr>
        <w:spacing w:after="0" w:line="15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or the incentive award agreement specifies, the vesting schedules. Our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is mainly that (i) one-tenth of the incentive awards vest 12 months after a specified vesting commencement date, an additional three-tenths vest 24 months after the specified vesting commencement date, another three-tenths vest 36 months after the specified vesting commencement date and the remaining three-tenths vest 48 months after the specified vesting commencement date, or (ii) a quarter of the incentive awards vest every 12 months over a four-year vesting period starting from a specified vesting commencement date, subject to other terms under the Third A&amp;R Global Plan and the incentive award agreement.</w:t>
      </w:r>
    </w:p>
    <w:p>
      <w:pPr>
        <w:spacing w:after="0" w:line="182" w:lineRule="exact"/>
        <w:rPr>
          <w:sz w:val="20"/>
          <w:szCs w:val="20"/>
          <w:color w:val="auto"/>
        </w:rPr>
      </w:pPr>
    </w:p>
    <w:p>
      <w:pPr>
        <w:ind w:left="120" w:right="8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Other Equity Awards. </w:t>
      </w:r>
      <w:r>
        <w:rPr>
          <w:rFonts w:ascii="Times New Roman" w:cs="Times New Roman" w:eastAsia="Times New Roman" w:hAnsi="Times New Roman"/>
          <w:sz w:val="17"/>
          <w:szCs w:val="17"/>
          <w:color w:val="auto"/>
        </w:rPr>
        <w:t>In addition to stock options, restricted share awards and restricted share unit awards, we may also grant to our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and consultants or any of our related entities share appreciation rights, deferred share awards, dividend equivalents and share payment awards, with such terms and conditions as our board of directors (or, if applicable, the compensation committee) may, subject to the terms of the plan, establish.</w:t>
      </w:r>
    </w:p>
    <w:p>
      <w:pPr>
        <w:spacing w:after="0" w:line="155"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by will or the laws of succession and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during the lifetime of the participant only by the participant.</w:t>
      </w:r>
    </w:p>
    <w:p>
      <w:pPr>
        <w:spacing w:after="0" w:line="158"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Termination or Amendment of the Plan. </w:t>
      </w:r>
      <w:r>
        <w:rPr>
          <w:rFonts w:ascii="Times New Roman" w:cs="Times New Roman" w:eastAsia="Times New Roman" w:hAnsi="Times New Roman"/>
          <w:sz w:val="18"/>
          <w:szCs w:val="18"/>
          <w:color w:val="auto"/>
        </w:rPr>
        <w:t>Unless terminated earlier, the plan will terminate automatically in 2027. Our board of directors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amend or terminate the plan to the extent necessary to comply with applicable law, regulation or stock exchange rule. We must also generally obtain approval of our shareholders to (i) increase the number of shares available under the plan (other than any adjustment as described above), (ii) permit the committee to extend the exercise period for an option beyond ten years from the date of grant, or (iii) result in a change in eligibility requirements, unless we decide to follow home country practice pursuant to Rule 5615(a)(3) of the Nasdaq listing rules applicable to foreign private issuers.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2"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 xml:space="preserve">   Board Practices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eight directors. A director is not required to hold any shares in our company by way of qualification. Our board of directors may exercise all the powers of our company to borrow money, mortgage or charge its undertaking, property and uncalled capital, and issue debentures or other securities whenever money is borrowed or as security for any obligation of our company or of any third party. No director is entitled to any severance benefits upon termination of his directorship with us. As of the date of this annual report, five out of eight of our directors meet the “independence” definition under The Nasdaq Stock Market, Inc. Marketplace Rules, or the Nasdaq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19"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reports to the board regarding the appointment of our independent auditors, the scope and results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audits, compliance with our accounting and financial policies and management’s procedures and policies related to the adequacy of our internal accounting controls.</w:t>
      </w:r>
    </w:p>
    <w:p>
      <w:pPr>
        <w:spacing w:after="0" w:line="17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our audit committee consists of Messrs. Gan, Li and Shen. All of these directors meet the audit committee independence standard under Rule 10A-3 under the Exchange Act. The independence definition under Rules 5605 of the Nasdaq Rules is met by Messrs. Gan, Li and Shen. In addition, all the members of our audit committee qualify as “audit committee financial experts” as defined in the Nasdaq Rules.</w:t>
      </w:r>
    </w:p>
    <w:p>
      <w:pPr>
        <w:spacing w:after="0" w:line="17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reviews and evaluates and, if necessary, revises the compensation policies adopted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Our compensation committee also determines all forms of compensation to be provided to our senior executive officers. In addition, the compensation committee reviews all annual bonuses, long-term incentive compensation, share options, employee pension and welfare benefit plans. Our chief executive officer may not be present at any committee meeting during which her compensation is deliberated.</w:t>
      </w:r>
    </w:p>
    <w:p>
      <w:pPr>
        <w:spacing w:after="0" w:line="18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our compensation committee consists of Messrs. Gan, Li and Shen, all of whom meet the “independence” definition under the Nasdaq Rules.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to act honestly and in good faith in the best interests of our company. Our directors must also exercise their powers only for a proper purpose. Our directors also owe to our company a duty to act with skill and care.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exceptional limited circumstances have rights to seek damages if a duty owed by the directors is breached.</w:t>
      </w:r>
    </w:p>
    <w:p>
      <w:pPr>
        <w:spacing w:after="0" w:line="19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5480" w:right="2120" w:hanging="4824"/>
        <w:spacing w:after="0" w:line="454" w:lineRule="auto"/>
        <w:tabs>
          <w:tab w:leader="none" w:pos="107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 109</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All directors hold office until their successors have been duly elected and qualified unless such office is vacated earlier in accordance with the articles of association. According to our current articles of association, each of Ms. May Yihong Wu and Ms. Iris Yang Xiao will hold office as our director until the first annual general meeting following her appointment, at which point she will be eligible for re-election. A director may only be removed by the shareholders who appointed such director, except in the case of ordinary directors, who may be removed by ordinary resolutions of the shareholders, save that for as long as our company remains listed on the Hong Kong Stock Exchange, the shareholders may by ordinary resolution remove any director. Officers are elected by and serve at the discretion of the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 xml:space="preserve">   Employees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we, our subsidiaries, and the VIEs and VIEs’ subsidiaries had 43,574 employees, including 3,429 in management and administration, 16,718 in our customer service centers, 5,398 in sales and marketing, and 18,029 in product development including supplier management personnel and technical support personnel. We, our subsidiaries, and the VIEs had 41,073 employees as of December 31, 2024 and 36,249 employees as of December 31, 2023. A substantial majority of our employees are based in China.</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qualified personnel. As part of our retention strategy, we offer employees competitive salaries, performance-based cash bonuses, regular awards, and long-term incentives.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primarily recruit our employees through recruitment agencies, on-campus job fairs, industry referrals, and online channels. In addition to on-the-job training, we have adopted a training system, pursuant to which management, technology, regulatory, and other trainings are regularly provided to our employees by internally sourced speakers or externally hired consultants. Our employees may also attend external trainings upon their supervisors’ approvals.</w:t>
      </w:r>
    </w:p>
    <w:p>
      <w:pPr>
        <w:spacing w:after="0" w:line="18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As required by PRC laws and regulations in respect of our PRC employment, we participate in housing fund and various employee social insurance plans that are organized by applicable municipal and provincial government authorities, including housing, pension, medical, work-related injury, maternity, and unemployment insurance, under which we make contributions at specified percentages of the salaries of our employees. We also purchase commercial health and accidental insurance coverage for our employees. Bonuses are generally discretionary and based in part on employee performance and in part on the overall performance of our business. We have adopted several share incentive plans to grant share-based incentive awards to our eligible employees to incentivize their contributions to our growth and development.</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enter into standard confidentiality and employment agreements with our employees. The contracts with our key personnel typically include a standard non-compete covenant that prohibits the employee from competing with us, directly or indirectly, during his or her employment and for two years after the termination of his or her employment, provided that we pay a certain amount of compensation during the restriction period.</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we did not experience any significant labor disputes or any significant difficulty in recruiting staff for our operations in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 xml:space="preserve">   Share Ownership</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March 31, 2026, 629,705,222 of our ordinary shares were issued and outstanding (excluding the 86,210,371 ordinary shares that were issued to Bank of New York Mellon, the depositary of our ADS program, for bulk issuance of ADSs reserved for future issuances upon the exercise or vesting of awards granted under our stock incentive plans and for our treasury ADSs, and treasury shares we own). Our shareholders are entitled to vote together as a single class on all matters submitted to shareholders vote. No shareholder has different voting rights from other shareholders. We are not aware of any arrangement that may, at a subsequent date, result in a change of control of our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82"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ownership of our ordinary shares as of March 31, 2026 by each of our directors and executive officers and each person known to us to beneficially own 5% or more of our ordinary shares. Except as otherwise noted, the address of each person listed in the table is c/o Trip.com Group Limited, 30 Raffles Place, #29-01, Singapore 048622.</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80" w:type="dxa"/>
            <w:vAlign w:val="bottom"/>
          </w:tcPr>
          <w:p>
            <w:pPr>
              <w:spacing w:after="0"/>
              <w:rPr>
                <w:sz w:val="15"/>
                <w:szCs w:val="15"/>
                <w:color w:val="auto"/>
              </w:rPr>
            </w:pPr>
          </w:p>
        </w:tc>
        <w:tc>
          <w:tcPr>
            <w:tcW w:w="18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Ordinary Shares Owned</w:t>
            </w:r>
          </w:p>
        </w:tc>
      </w:tr>
      <w:tr>
        <w:trPr>
          <w:trHeight w:val="142"/>
        </w:trPr>
        <w:tc>
          <w:tcPr>
            <w:tcW w:w="918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(1)</w:t>
            </w:r>
          </w:p>
        </w:tc>
        <w:tc>
          <w:tcPr>
            <w:tcW w:w="220" w:type="dxa"/>
            <w:vAlign w:val="bottom"/>
          </w:tcPr>
          <w:p>
            <w:pPr>
              <w:spacing w:after="0"/>
              <w:rPr>
                <w:sz w:val="12"/>
                <w:szCs w:val="12"/>
                <w:color w:val="auto"/>
              </w:rPr>
            </w:pPr>
          </w:p>
        </w:tc>
      </w:tr>
      <w:tr>
        <w:trPr>
          <w:trHeight w:val="196"/>
        </w:trPr>
        <w:tc>
          <w:tcPr>
            <w:tcW w:w="9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Senior Management*:</w:t>
            </w: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91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James Jianzhang Liang</w:t>
            </w:r>
            <w:r>
              <w:rPr>
                <w:rFonts w:ascii="Times New Roman" w:cs="Times New Roman" w:eastAsia="Times New Roman" w:hAnsi="Times New Roman"/>
                <w:sz w:val="25"/>
                <w:szCs w:val="25"/>
                <w:color w:val="auto"/>
                <w:vertAlign w:val="superscript"/>
              </w:rPr>
              <w:t>(2)</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43,336,475</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1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Jane Jie Sun</w:t>
            </w:r>
            <w:r>
              <w:rPr>
                <w:rFonts w:ascii="Times New Roman" w:cs="Times New Roman" w:eastAsia="Times New Roman" w:hAnsi="Times New Roman"/>
                <w:sz w:val="25"/>
                <w:szCs w:val="25"/>
                <w:color w:val="auto"/>
                <w:vertAlign w:val="superscript"/>
              </w:rPr>
              <w:t>(3)</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16,422,035</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1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Cindy Xiaofan Wang</w:t>
            </w:r>
            <w:r>
              <w:rPr>
                <w:rFonts w:ascii="Times New Roman" w:cs="Times New Roman" w:eastAsia="Times New Roman" w:hAnsi="Times New Roman"/>
                <w:sz w:val="25"/>
                <w:szCs w:val="25"/>
                <w:color w:val="auto"/>
                <w:vertAlign w:val="superscript"/>
              </w:rPr>
              <w:t>(4)</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952,026</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91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Xing Xiong</w:t>
            </w:r>
            <w:r>
              <w:rPr>
                <w:rFonts w:ascii="Times New Roman" w:cs="Times New Roman" w:eastAsia="Times New Roman" w:hAnsi="Times New Roman"/>
                <w:sz w:val="25"/>
                <w:szCs w:val="25"/>
                <w:color w:val="auto"/>
                <w:vertAlign w:val="superscript"/>
              </w:rPr>
              <w:t>(5)</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1,443,072</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91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Neil Nanpeng Shen</w:t>
            </w:r>
            <w:r>
              <w:rPr>
                <w:rFonts w:ascii="Times New Roman" w:cs="Times New Roman" w:eastAsia="Times New Roman" w:hAnsi="Times New Roman"/>
                <w:sz w:val="25"/>
                <w:szCs w:val="25"/>
                <w:color w:val="auto"/>
                <w:vertAlign w:val="superscript"/>
              </w:rPr>
              <w:t>(6)</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925,792</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91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Gabriel Li</w:t>
            </w:r>
            <w:r>
              <w:rPr>
                <w:rFonts w:ascii="Times New Roman" w:cs="Times New Roman" w:eastAsia="Times New Roman" w:hAnsi="Times New Roman"/>
                <w:sz w:val="25"/>
                <w:szCs w:val="25"/>
                <w:color w:val="auto"/>
                <w:vertAlign w:val="superscript"/>
              </w:rPr>
              <w:t>(7)</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498,893</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91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JP Gan</w:t>
            </w:r>
            <w:r>
              <w:rPr>
                <w:rFonts w:ascii="Times New Roman" w:cs="Times New Roman" w:eastAsia="Times New Roman" w:hAnsi="Times New Roman"/>
                <w:sz w:val="25"/>
                <w:szCs w:val="25"/>
                <w:color w:val="auto"/>
                <w:vertAlign w:val="superscript"/>
              </w:rPr>
              <w:t>(8)</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188,000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May Yihong Wu</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Iris Yang Xiao</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Rong Luo</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 directors and officers as a group</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63,766,293</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Capital World Investors</w:t>
            </w:r>
            <w:r>
              <w:rPr>
                <w:rFonts w:ascii="Times New Roman" w:cs="Times New Roman" w:eastAsia="Times New Roman" w:hAnsi="Times New Roman"/>
                <w:sz w:val="25"/>
                <w:szCs w:val="25"/>
                <w:color w:val="auto"/>
                <w:vertAlign w:val="superscript"/>
              </w:rPr>
              <w:t>(9)</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55,777,883</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1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Baidu, Inc.</w:t>
            </w:r>
            <w:r>
              <w:rPr>
                <w:rFonts w:ascii="Times New Roman" w:cs="Times New Roman" w:eastAsia="Times New Roman" w:hAnsi="Times New Roman"/>
                <w:sz w:val="25"/>
                <w:szCs w:val="25"/>
                <w:color w:val="auto"/>
                <w:vertAlign w:val="superscript"/>
              </w:rPr>
              <w:t>(10)</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45,953,524</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355"/>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6"/>
                <w:szCs w:val="26"/>
                <w:color w:val="auto"/>
                <w:vertAlign w:val="superscript"/>
              </w:rPr>
              <w:t>(11)</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32,685,688</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Notes:</w:t>
      </w:r>
    </w:p>
    <w:p>
      <w:pPr>
        <w:spacing w:after="0" w:line="109"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stated, the business address of our directors and executive officers is c/o 30 Raffles Place, #29-01, Singapore 048622.</w:t>
      </w:r>
    </w:p>
    <w:p>
      <w:pPr>
        <w:spacing w:after="0" w:line="10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determined in accordance with the SEC rules, and includes voting or investment power with respect to the securities.</w:t>
      </w:r>
    </w:p>
    <w:p>
      <w:pPr>
        <w:spacing w:after="0" w:line="109" w:lineRule="exact"/>
        <w:rPr>
          <w:sz w:val="20"/>
          <w:szCs w:val="20"/>
          <w:color w:val="auto"/>
        </w:rPr>
      </w:pPr>
    </w:p>
    <w:p>
      <w:pPr>
        <w:jc w:val="both"/>
        <w:ind w:left="540" w:right="20" w:hanging="424"/>
        <w:spacing w:after="0" w:line="24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table, percentage ownership is calculated by dividing the sum of the number of shares held by such person or group and the number of share options held by such person or group that were exercisable within 60 days after March 31, 2026 by the sum of the number of ordinary shares outstanding as of March 31, 2026 and the number of ordinary shares underlying share options held by such person or group that were exercisable within 60 days after March 31, 2026.</w:t>
      </w:r>
    </w:p>
    <w:p>
      <w:pPr>
        <w:spacing w:after="0" w:line="82" w:lineRule="exact"/>
        <w:rPr>
          <w:rFonts w:ascii="Times New Roman" w:cs="Times New Roman" w:eastAsia="Times New Roman" w:hAnsi="Times New Roman"/>
          <w:sz w:val="14"/>
          <w:szCs w:val="14"/>
          <w:color w:val="auto"/>
        </w:rPr>
      </w:pPr>
    </w:p>
    <w:p>
      <w:pPr>
        <w:ind w:left="540" w:right="140" w:hanging="424"/>
        <w:spacing w:after="0" w:line="23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7,019,542 ordinary shares (including ordinary shares represented by ADSs) beneficially owned by Mr. Liang, (ii) 12,512,000 ordinary shares that were issuable upon exercise of options exercisable within 60 days after March 31, 2026 held by Mr. Liang; (iii) 2,241,600 ordinary shares (including ordinary shares represented by ADSs) held by Mr. Liang whose investment and voting power over these ordinary shares has been assigned to a third-party irrevocable trust; and (iv) 21,563,333 ordinary shares that were issuable upon exercise of options exercisable within 60 days after March 31, 2026, which options were granted to Mr. Liang and rights underlying these options have been assigned to a third-party irrevocable trust. Mr. Liang and his family members are beneficiaries of the trust. Mr. Liang disclaims beneficial ownership of the securities listed in (iii) and (iv) for the purposes of Sections 13(d) or 13(g) of the Securities Exchange Act of 1934.</w:t>
      </w:r>
    </w:p>
    <w:p>
      <w:pPr>
        <w:spacing w:after="0" w:line="82" w:lineRule="exact"/>
        <w:rPr>
          <w:rFonts w:ascii="Times New Roman" w:cs="Times New Roman" w:eastAsia="Times New Roman" w:hAnsi="Times New Roman"/>
          <w:sz w:val="14"/>
          <w:szCs w:val="14"/>
          <w:color w:val="auto"/>
        </w:rPr>
      </w:pPr>
    </w:p>
    <w:p>
      <w:pPr>
        <w:ind w:left="540" w:hanging="424"/>
        <w:spacing w:after="0" w:line="236"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1,219,868 ordinary shares (including ordinary shares represented by ADSs) held by Ms. Sun whose investment and voting power over these ordinary shares has been assigned to a third party irrevocable trust; and (ii) 15,202,167 ordinary shares that were issuable upon exercise of options exercisable within 60 days after March 31, 2026; such options were granted to Ms. Sun and rights underlying the options have been assigned to a third-party irrevocable trust. Ms. Sun and her family members are beneficiaries of the trust. Ms. Sun disclaims beneficial ownership of these securities for the purposes of Sections 13(d) or 13(g) of the Securities Exchange Act of 1934.</w:t>
      </w:r>
    </w:p>
    <w:p>
      <w:pPr>
        <w:spacing w:after="0" w:line="82" w:lineRule="exact"/>
        <w:rPr>
          <w:rFonts w:ascii="Times New Roman" w:cs="Times New Roman" w:eastAsia="Times New Roman" w:hAnsi="Times New Roman"/>
          <w:sz w:val="14"/>
          <w:szCs w:val="14"/>
          <w:color w:val="auto"/>
        </w:rPr>
      </w:pPr>
    </w:p>
    <w:p>
      <w:pPr>
        <w:ind w:left="540" w:right="180" w:hanging="424"/>
        <w:spacing w:after="0" w:line="26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119,928 ordinary shares (including ordinary shares represented by ADSs) beneficially owned by Ms. Wang and 832,098 ordinary shares that were issuable upon exercise of options exercisable within 60 days after March 31, 2026 held by Ms. Wang.</w:t>
      </w:r>
    </w:p>
    <w:p>
      <w:pPr>
        <w:spacing w:after="0" w:line="68" w:lineRule="exact"/>
        <w:rPr>
          <w:rFonts w:ascii="Times New Roman" w:cs="Times New Roman" w:eastAsia="Times New Roman" w:hAnsi="Times New Roman"/>
          <w:sz w:val="14"/>
          <w:szCs w:val="14"/>
          <w:color w:val="auto"/>
        </w:rPr>
      </w:pPr>
    </w:p>
    <w:p>
      <w:pPr>
        <w:ind w:left="540" w:right="120" w:hanging="424"/>
        <w:spacing w:after="0" w:line="26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89,322 ordinary shares (including ordinary shares represented by ADSs) beneficially owned by Mr. Xiong and 1,353,750 ordinary shares that were issuable upon exercise of options exercisable within 60 days after March 31, 2026 held by Mr. Xiong.</w:t>
      </w:r>
    </w:p>
    <w:p>
      <w:pPr>
        <w:spacing w:after="0" w:line="68" w:lineRule="exact"/>
        <w:rPr>
          <w:rFonts w:ascii="Times New Roman" w:cs="Times New Roman" w:eastAsia="Times New Roman" w:hAnsi="Times New Roman"/>
          <w:sz w:val="14"/>
          <w:szCs w:val="14"/>
          <w:color w:val="auto"/>
        </w:rPr>
      </w:pPr>
    </w:p>
    <w:p>
      <w:pPr>
        <w:ind w:left="540" w:right="240" w:hanging="424"/>
        <w:spacing w:after="0" w:line="26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713,792 ordinary shares (including ordinary shares represented by ADSs) beneficially owned by Mr. Shen and 212,000 ordinary shares that were issuable upon exercise of options exercisable within 60 days after March 31, 2026 held by Mr. Shen. Mr. Shen’s business address is Suite 3613, 36/F, Two Pacific Place, 88 Queensway, Hong Kong.</w:t>
      </w:r>
    </w:p>
    <w:p>
      <w:pPr>
        <w:spacing w:after="0" w:line="68" w:lineRule="exact"/>
        <w:rPr>
          <w:rFonts w:ascii="Times New Roman" w:cs="Times New Roman" w:eastAsia="Times New Roman" w:hAnsi="Times New Roman"/>
          <w:sz w:val="14"/>
          <w:szCs w:val="14"/>
          <w:color w:val="auto"/>
        </w:rPr>
      </w:pPr>
    </w:p>
    <w:p>
      <w:pPr>
        <w:ind w:left="540" w:right="400" w:hanging="424"/>
        <w:spacing w:after="0" w:line="26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238,893 ordinary shares (including ordinary shares represented by ADSs) beneficially owned by Mr. Li and 260,000 ordinary shares that were issuable upon exercise of options exercisable within 60 days after March 31, 2026 held by Mr. Li. Mr. Li’s business address is Suite 5612, 56/F, The Center, 99 Queen’s Road Central, Hong Kong.</w:t>
      </w:r>
    </w:p>
    <w:p>
      <w:pPr>
        <w:spacing w:after="0" w:line="68" w:lineRule="exact"/>
        <w:rPr>
          <w:rFonts w:ascii="Times New Roman" w:cs="Times New Roman" w:eastAsia="Times New Roman" w:hAnsi="Times New Roman"/>
          <w:sz w:val="14"/>
          <w:szCs w:val="14"/>
          <w:color w:val="auto"/>
        </w:rPr>
      </w:pPr>
    </w:p>
    <w:p>
      <w:pPr>
        <w:ind w:left="540" w:right="140" w:hanging="424"/>
        <w:spacing w:after="0" w:line="26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113,000 ordinary shares (including ordinary shares represented by ADSs) beneficially owned by Mr. Gan and 75,000 ordinary shares that were issuable upon exercise of options exercisable within 60 days after March 31, 2026 held by Mr. Gan. Mr. Gan’s business address is Unit 2502, Bank of America Tower, 12 Harcourt Road, Central, Hong Kong.</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82"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540" w:right="80" w:hanging="424"/>
        <w:spacing w:after="0" w:line="233" w:lineRule="auto"/>
        <w:tabs>
          <w:tab w:leader="none" w:pos="5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55,777,883 ordinary shares beneficially owned as of September 30, 2025 by Capital World Investors, based on the information contained in the Schedule 13G/A filed by Capital World Investors with the SEC on November 13, 2025. Based on the same Schedule 13G/A filing, Capital World Investors is a division of Capital Research and Management Company,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The address for Capital World Investors is 333 South Hope Street, 55th Floor, Los Angeles, California 90071.</w:t>
      </w:r>
    </w:p>
    <w:p>
      <w:pPr>
        <w:spacing w:after="0" w:line="82" w:lineRule="exact"/>
        <w:rPr>
          <w:rFonts w:ascii="Times New Roman" w:cs="Times New Roman" w:eastAsia="Times New Roman" w:hAnsi="Times New Roman"/>
          <w:sz w:val="14"/>
          <w:szCs w:val="14"/>
          <w:color w:val="auto"/>
        </w:rPr>
      </w:pPr>
    </w:p>
    <w:p>
      <w:pPr>
        <w:jc w:val="both"/>
        <w:ind w:left="540" w:right="60" w:hanging="424"/>
        <w:spacing w:after="0" w:line="241" w:lineRule="auto"/>
        <w:tabs>
          <w:tab w:leader="none" w:pos="5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45,953,524 ordinary shares beneficially owned as of September 25, 2024 by Baidu, Inc. and its wholly-owned subsidiary, Baidu Holdings Limited, based on the information contained in the Schedule 13D/A filed by Baidu, Inc. and Baidu Holdings Limited on September 27, 2024. The address for Baidu, Inc. and Baidu Holdings Limited is Baidu Campus, No. 10 Shangdi 10th Street, Haidian District, Beijing 100085, the People’s Republic of China.</w:t>
      </w:r>
    </w:p>
    <w:p>
      <w:pPr>
        <w:spacing w:after="0" w:line="82" w:lineRule="exact"/>
        <w:rPr>
          <w:rFonts w:ascii="Times New Roman" w:cs="Times New Roman" w:eastAsia="Times New Roman" w:hAnsi="Times New Roman"/>
          <w:sz w:val="14"/>
          <w:szCs w:val="14"/>
          <w:color w:val="auto"/>
        </w:rPr>
      </w:pPr>
    </w:p>
    <w:p>
      <w:pPr>
        <w:ind w:left="540" w:right="180" w:hanging="424"/>
        <w:spacing w:after="0" w:line="261" w:lineRule="auto"/>
        <w:tabs>
          <w:tab w:leader="none" w:pos="5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32,685,688 ordinary shares beneficially owned as of December 31, 2025 by BlackRock, Inc., based on the information contained in the Schedule 13G filed by BlackRock, Inc. on January 21, 2026. The address for BlackRock, Inc. is 50 Hudson Yards, New York, NY 10001.</w:t>
      </w:r>
    </w:p>
    <w:p>
      <w:pPr>
        <w:spacing w:after="0" w:line="16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 our knowledge, we believe that as of March 31, 2026, 260,066,700 ordinary shares were held by two record shareholders in the United States, including 260,066,692 ordinary shares (including ordinary shares that were issued for bulk issuance of ADSs reserved for future issuances upon the exercise or vesting of awards granted under our stock incentive plans and treasury shares that were repurchased but not retired by our company) held of record by The Bank of New York Mellon, the depositary of our ADS program. The number of beneficial owners of our ADSs in the United States is likely to be much larger than the number of record holders of our ordinary shares in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business operations are primarily conducted in China, and most of our assets are located in China. Among our directors and executive officers, Neil Nanpeng Shen, Gabriel Li, JP Gan and Iris Yang Xiao habitually reside in Hong Kong while the other directors and executive officers all habitually reside in the Chinese mainland, and a substantial portion of their assets are located outside the United States. As a result, it may be difficult for a shareholder to effect service of process within the United States upon these individuals,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been informed by Maples and Calder (Hong Kong) LLP, our Cayman Islands legal counsel, that the United States and the Cayman Islands do not have a treaty providing for reciprocal recognition and enforcement of judgments of U.S. courts in civil and commercial matters and the courts of the Cayman Islands are unlikely to (i) recognize or enforce judgments of U.S. courts obtained against us or our directors or officers, predicated upon the civil liability provisions of the securities laws of the United States or any state in the United States, or (ii) in original actions brought in the Cayman Islands, to impose liabilities against us or our directors or officers, predicated upon the securities laws of the United States or any state in the United States, so far as the liabilities imposed by those provisions are penal in nature.</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also been advised by our Cayman Islands legal counsel that, although there is no statutory enforcement in the Cayman Islands of judgments obtained in any federal or state court in the United States, the courts of the Cayman Islands will recognize and enforce in the courts of the Cayman Islands a foreign money judgment of a foreign court of competent jurisdiction without retrial on the merits based on the principle that a judgment of a competent foreign court imposes upon the judgment debtor an obligation to pay the sum for which judgment has been given, provided such judgment (i) is given by a foreign court of competent jurisdiction, (ii) imposes on the judgment debtor a liability to pay a liquidated sum for which the judgment has been given, (iii) is final and conclusive, (iv) is not in respect of taxes, a fine or a penalty, (v) is not inconsistent with a Cayman Islands judgment in respect of the same matter, and (vi) is not impeachable on the grounds of fraud and was not obtained in a manner and is not of a kind the enforcement of which is contrary to natural justice or the public policy of the Cayman Islands.</w:t>
      </w:r>
    </w:p>
    <w:p>
      <w:pPr>
        <w:spacing w:after="0" w:line="19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80"/>
          </w:cols>
          <w:pgMar w:left="320" w:top="482"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PRC legal counsel, Commerce &amp; Finance Law Offices, has advised us that there is uncertainty as to whether the courts of the Chinese mainland would:</w:t>
      </w:r>
    </w:p>
    <w:p>
      <w:pPr>
        <w:spacing w:after="0" w:line="67" w:lineRule="exact"/>
        <w:rPr>
          <w:sz w:val="20"/>
          <w:szCs w:val="20"/>
          <w:color w:val="auto"/>
        </w:rPr>
      </w:pPr>
    </w:p>
    <w:p>
      <w:pPr>
        <w:ind w:left="1080" w:right="2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PRC legal counsel has further advised us that recognition and enforcement of foreign judgments are provided for under the PRC Civil Procedure Law. Courts of the Chinese mainland may recognize and enforce foreign judgments in accordance with the requirements of the PRC Civil Procedure Law and other applicable laws and regulations based either on treaties between the Chinese mainland and the country where the judgment is made or on principles of reciprocity between jurisdictions. the Chinese mainland does not have any treaties or other forms of reciprocity with the United States or the Cayman Islands that provide for the reciprocal recognition and enforcement of foreign judgments. As such, the courts of the Chinese mainland will review and determine the applicability of the reciprocity principle on a case-by-case basis and the length of the procedure is uncertain. In addition, according to the PRC Civil Procedure Law, courts in the Chinese mainland will not enforce a foreign judgment against us or our directors and officers if they decide that the judgment violates the basic principles of PRC law or national sovereignty, security or public interest. As a result, it is uncertain whether and on what basis a court of the Chinese mainland would enforce a judgment rendered by a court in the United States or in the Cayman Islands. Under the PRC Civil Procedure Law, foreign shareholders may originate actions based on PRC law against a company in the Chinese mainland for disputes if they can establish a sufficient nexus to the Chinese mainland for a court of the Chinese mainland to have jurisdiction and meet other procedural requirements. It will be, however, difficult for U.S. shareholders to originate actions against us in the Chinese mainland in accordance with PRC laws because we are incorporated under the laws of the Cayman Islands and it will be difficult for U.S. shareholders, by virtue only of holding the ADSs or ordinary shares, to establish a connection to the Chinese mainland for a court of the Chinese mainland to have jurisdiction as required under the PRC Civil Procedure Law.</w:t>
      </w:r>
    </w:p>
    <w:p>
      <w:pPr>
        <w:spacing w:after="0" w:line="19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the United States and Hong Kong do not have a bilateral treaty or multilateral convention in force on reciprocal recognition and enforcement of judgments. As a result, any United States judgment is enforceable in Hong Kong pursuant to the common law regime in Hong Kong for recognizing and enforcing foreign judgments, which provides that a foreign judgment is enforceable if (i) it is final and conclusive on the merits, (ii) the judgment has been rendered by a court of competent jurisdiction, (iii) the judgment must be for a fixed sum of money, (iv) the judgment must be between the same parties as those before the Hong Kong court, and (v) enforcement of the judgment is not a breach of natural justice or against public policy.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i w:val="1"/>
          <w:iCs w:val="1"/>
          <w:color w:val="auto"/>
        </w:rPr>
        <w:t xml:space="preserve">   Disclosure of A Registrant’s Action to Recover Erroneously Awarded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 xml:space="preserve">   Major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80"/>
          </w:cols>
          <w:pgMar w:left="320" w:top="482"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 xml:space="preserve">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Arrangements with the VIEs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Current PRC laws and regulations impose restrictions on foreign ownership of certain businesses in China. Therefore, we conduct part of our businesses through a series of contractual arrangements between our PRC subsidiaries, the VIEs, and/or their respective shareholders. The VIEs hold the licenses and approvals for operating the travel agency and value-added telecommunications businesses in China. As a result of the contractual arrangements, we (i) have the power to direct activities of the VIEs that most significantly affect their economic performance, and (ii) receive the economic benefits from the VIEs that could be significant to them. Accordingly, for accounting purposes, the contractual arrangements provide Trip.com Group Limited with a “controlling financial interest” in the VIEs as defined in FASB ASC 810, making Trip.com Group Limited the primary beneficiary of these companies, and Trip.com Group Limited thus has consolidated the financial results of operations, assets, and liabilities of these companies in its consolidated financial statements under U.S. GAAP. Moreover, we plan to enter into the same series of agreements with all of the future variable interest entities. As of the date of this annual report, Bo Sun, Maohua Sun, Hui Cao, and Hui Wang, all being our employees or senior consultants, are the principal record owners of the VIEs. Neither Trip.com Group Limited nor its investors have an equity ownership (including foreign direct investment) in, or control through such equity ownership of, the VIEs, and the contractual arrangements are not equivalent to an equity ownership in the business of the VIEs.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of this annual report, the equity holding structures of each of the significant VIEs and VIEs’ subsidiaries are as follows:</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Maohua Sun and Bo Sun owned 10.2% and 89.8%, respectively, of Ctrip Commerce (VIE).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Ctrip Commerce (VIE) owned 100% of Shanghai Huacheng (VIE).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Hui Cao and Hui Wang owned 60% and 40%, respectively, of Qunar Beijing (VIE).</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believe that the terms of these agreements are no less favorable than the terms that we could obtain from disinterested third parties. The terms of the agreements with the same title between us and the respective VIEs are substantially similar except for the amount of the business loans to the shareholders of each entity and the amount of service fees paid by each entity. We believe that the shareholders of the VIEs will not receive any personal benefits from these agreements except as shareholders of our company. According to our PRC legal counsel, Commerce &amp; Finance Law Offices, these agreements are valid, binding, and enforceable under the current laws and regulations of China as of the date of this annual report. The principal terms of these agreements are described below.</w:t>
      </w:r>
    </w:p>
    <w:p>
      <w:pPr>
        <w:spacing w:after="0" w:line="18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Powers of Attorney</w:t>
      </w:r>
      <w:r>
        <w:rPr>
          <w:rFonts w:ascii="Times New Roman" w:cs="Times New Roman" w:eastAsia="Times New Roman" w:hAnsi="Times New Roman"/>
          <w:sz w:val="18"/>
          <w:szCs w:val="18"/>
          <w:color w:val="auto"/>
        </w:rPr>
        <w:t>. The shareholders of Ctrip Commerce (VIE) signed an irrevocable power of attorney to appoint Ctrip Travel Network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attorney-in-fact to vote, by itself or any other person to be designated at its discretion, on all matters of Ctrip Commerce (VIE). Each such power of attorney will remain effective as long as Ctrip Commerce (VIE) exists, and such shareholders of Ctrip Commerce (VIE) are not entitled to terminate or amend the terms of the powers of attorney without prior written consent from us.</w:t>
      </w:r>
    </w:p>
    <w:p>
      <w:pPr>
        <w:spacing w:after="0" w:line="18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each of the shareholders of Qunar Beijing (VIE), Hui Cao and Hui Wang, also signed an irrevocable power of attorney authorizing an appointee, to exercise, in a manner approved by Qunar, on such shareholder’s behalf the full shareholder rights pursuant to applicable laws and Qunar Beijing (VIE)’s articles of association, including without limitation full voting rights and the right to sell or transfer any or all of such shareholder’s equity interest in Qunar Beijing (VIE). Each such power of attorney is effective until such time as such shareholder ceases to hold any equity interest in Qunar Beijing (VIE). The terms of the power of attorney with respect to Qunar Beijing (VIE) are substantially similar to the terms described in the foregoing paragraph.</w:t>
      </w:r>
    </w:p>
    <w:p>
      <w:pPr>
        <w:spacing w:after="0" w:line="18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Technical Consulting and Services Agreements</w:t>
      </w:r>
      <w:r>
        <w:rPr>
          <w:rFonts w:ascii="Times New Roman" w:cs="Times New Roman" w:eastAsia="Times New Roman" w:hAnsi="Times New Roman"/>
          <w:sz w:val="18"/>
          <w:szCs w:val="18"/>
          <w:color w:val="auto"/>
        </w:rPr>
        <w:t>. Ctrip Travel Network, a wholly-owned PRC subsidiary of ours, provides Ctrip Commerce (VIE)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technical consulting and related services and staff training and information services on an exclusive basis. We also maintain their network platforms. In consideration for our services, Ctrip Commerce (VIE) agrees to pay us service fees as calculated in such manner as determined by us from time to time based on the nature of service, which may be adjusted periodically. For 2023, 2024, and 2025 the VIEs paid Ctrip Travel Network a periodic fee based on the number of transportation tickets sold in the period, at an average rate of RMB8.5 (US$1.2) per ticket. Although the service fees are typically determined based on the number of transportation tickets sold, given the fact that the nominee shareholders of Ctrip Commerce (VIE) have irrevocably appointed a designated person to vote on their behalf on all matters they are entitled to vote on, we have the right to determine the level of service fees paid and therefore receive substantially all of the economic benefits of the VIEs in the form of service fees. The services fees paid by all of the VIEs as a percentage of their total net income were 128%, 92%, and 90% for the years ended December 31, 2023, 2024, and 2025, respectively. Ctrip Travel Network will exclusively own any intellectual property rights arising from the performance of this agreement. The initial term of these agreements is 10 years and may be renewed automatically in 10-year terms unless we disapprove the extension. We retain the exclusive right to terminate the agreements at any time by delivering a 30-day advance written notice to the applicable VIE.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pursuant to the restated exclusive technical consulting and services agreement between Qunar Beijing (VIE) and Qunar Software, Qunar Software provides Qunar Beijing (VIE) with technical, marketing and management consulting services on an exclusive basis in exchange for service fee paid by Qunar Beijing (VIE) based on a set formula defined in the agreement subject to adjustment by Qunar Software at its sole discretion. This agreement will remain in effect until terminated unilaterally by Qunar Software or mutually. The terms of this agreement are substantially similar to the terms described in the foregoing paragraph.</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Equity Pledge Agreements</w:t>
      </w:r>
      <w:r>
        <w:rPr>
          <w:rFonts w:ascii="Times New Roman" w:cs="Times New Roman" w:eastAsia="Times New Roman" w:hAnsi="Times New Roman"/>
          <w:sz w:val="18"/>
          <w:szCs w:val="18"/>
          <w:color w:val="auto"/>
        </w:rPr>
        <w:t>. The shareholders of Ctrip Commerce (VIE), have pledged their respective equity interests in Ctrip Commerce (VIE)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guarantee for the performance of all the obligations under the other contractual arrangements, including payment by Ctrip Commerce (VIE) of the technical and consulting service fees to us under the technical consulting and services agreements, repayment of the business loan under the loan agreements and performance of obligations under the exclusive option agreements, each agreement as described herein. This agreement is valid and binding on the parties, their heirs, successors and permitted assignees. In the event Ctrip Commerce (VIE) breaches any of its obligations or any shareholder of Ctrip Commerce (VIE) breaches his or her obligations, as the case may be, under these agreements, we are entitled to enforce the equity pledge right and sell or otherwise dispose of the pledged equity interests, and have priority in receiving payment from proceeds from the auction or sale of all or part of the pledge until the obligations are settled. The pledge has been established upon registration with the local branch of the SAMR, and will expire two years after the pledgors and Ctrip Commerce (VIE) no longer undertake any obligations under the above-referenced agreements.</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pursuant to the equity interest pledge agreement among Qunar Software, Hui Cao and Hui Wang, Hui Cao and Hui Wang have pledged their equity interests in Qunar Beijing (VIE) along with all rights, titles and interests to Qunar Software as a guarantee for the performance of all obligations under the contractual arrangements mentioned herein. This agreement is valid and binding on the pledgors and each of their successors, and is binding on the pledgee and its successors and assignees. Qunar Software may enforce this pledge upon the occurrence of a settlement event or as required by PRC law. The pledge has been established upon registration with the local branch of the SAMR, and will expire when all obligations under the contractual arrangements have been satisfied. In enforcing the pledge, Qunar Software is entitled to dispose of the pledge and have priority in receiving payment from proceeds from the auction or sale of all or part of the pledge until the obligations are settled. The terms of this agreement are substantially similar to the terms described in the foregoing paragraph.</w:t>
      </w:r>
    </w:p>
    <w:p>
      <w:pPr>
        <w:spacing w:after="0" w:line="19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Loan Agreements</w:t>
      </w:r>
      <w:r>
        <w:rPr>
          <w:rFonts w:ascii="Times New Roman" w:cs="Times New Roman" w:eastAsia="Times New Roman" w:hAnsi="Times New Roman"/>
          <w:sz w:val="18"/>
          <w:szCs w:val="18"/>
          <w:color w:val="auto"/>
        </w:rPr>
        <w:t>. Under the loan agreements we entered into with the shareholders of Ctrip Commerce (VIE), we extended long-term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to these shareholders of Ctrip Commerce (VIE) with the sole purpose of providing funds necessary for the capitalization or acquisition of Ctrip Commerce (VIE). These business loan amounts were injected into Ctrip Commerce (VIE) as capital and cannot be accessed for any personal uses. The initial term of the loan agreements is 10 years and may be renewed automatically in 10-year terms unless we disapprove the extension by written notice in advance. The loan agreements will remain effective until the parties have fully performed their respective obligations under the agreement, and the shareholders of Ctrip Commerce (VIE) have no right to unilaterally terminate these agreements or repay the loans in advance. The loan agreements are valid and binding on the parties, their successors and permitted assignees. In the event that the PRC government lifts its restrictions on foreign ownership of the value-added telecommunications business in China, as applicable, we will exercise our exclusive option to purchase all of the outstanding equity interests of Ctrip Commerce (VIE), as described in the following paragraph, and the loan agreements will be canceled in connection with such purchase. However, it is uncertain when, if at all, the PRC government will lift any or all of these restrictions.</w:t>
      </w:r>
    </w:p>
    <w:p>
      <w:pPr>
        <w:spacing w:after="0" w:line="18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As of the date of this annual report, pursuant to the loan agreement among Qunar Software, Hui Cao and Hui Wang, the loans extended by Qunar Software to each of Hui Cao and Hui Wang are only repayable by a transfer of such borrower’s equity interest in Qunar Beijing (VIE) to Qunar Software or its designated party, in proportion to the amount of the loan to be repaid. This loan agreement will continue in effect indefinitely until such time as</w:t>
      </w:r>
    </w:p>
    <w:p>
      <w:pPr>
        <w:spacing w:after="0" w:line="2" w:lineRule="exact"/>
        <w:rPr>
          <w:sz w:val="20"/>
          <w:szCs w:val="20"/>
          <w:color w:val="auto"/>
        </w:rPr>
      </w:pPr>
    </w:p>
    <w:p>
      <w:pPr>
        <w:ind w:left="120" w:right="80" w:hanging="4"/>
        <w:spacing w:after="0" w:line="253"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receive a repayment notice from Qunar Software and fully repay the loans, or (ii) an event of default (as defined therein) occurs unless Qunar Software sends a notice indicating otherwise within 15 calendar days after it is aware of such event. The loan agreement is valid and binding on the parties, their successors and permitted assignees. The terms of this loan agreement are substantially similar to the terms described in the foregoing paragraphs.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the date of this annual report, the amount of each business loan, the date each business loan arrangement was entered into, the principal, interest, maturity date and outstanding balance of the loan, the borrower and the corresponding significant VIE.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Loan Agreement</w:t>
            </w:r>
          </w:p>
        </w:tc>
        <w:tc>
          <w:tcPr>
            <w:tcW w:w="134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Borrower</w:t>
            </w:r>
          </w:p>
        </w:tc>
        <w:tc>
          <w:tcPr>
            <w:tcW w:w="19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Significant VIE</w:t>
            </w:r>
          </w:p>
        </w:tc>
        <w:tc>
          <w:tcPr>
            <w:tcW w:w="11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3"/>
                <w:szCs w:val="13"/>
                <w:color w:val="auto"/>
              </w:rPr>
            </w:pPr>
          </w:p>
        </w:tc>
        <w:tc>
          <w:tcPr>
            <w:tcW w:w="19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67"/>
        </w:trPr>
        <w:tc>
          <w:tcPr>
            <w:tcW w:w="150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880" w:type="dxa"/>
            <w:vAlign w:val="bottom"/>
          </w:tcPr>
          <w:p>
            <w:pPr>
              <w:jc w:val="center"/>
              <w:ind w:left="318"/>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Borders>
              <w:top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Borders>
              <w:top w:val="single" w:sz="8" w:color="auto"/>
              <w:bottom w:val="single" w:sz="8" w:color="auto"/>
            </w:tcBorders>
          </w:tcPr>
          <w:p>
            <w:pPr>
              <w:jc w:val="right"/>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400" w:type="dxa"/>
            <w:vAlign w:val="bottom"/>
            <w:tcBorders>
              <w:top w:val="single" w:sz="8" w:color="auto"/>
              <w:bottom w:val="single" w:sz="8" w:color="auto"/>
            </w:tcBorders>
          </w:tcPr>
          <w:p>
            <w:pPr>
              <w:jc w:val="right"/>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30, 2021</w:t>
            </w:r>
          </w:p>
        </w:tc>
        <w:tc>
          <w:tcPr>
            <w:tcW w:w="2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Bo Sun</w:t>
            </w: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Ctrip Commerce (VIE)</w:t>
            </w: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808.2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115.6</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November 29, 2031</w:t>
            </w:r>
          </w:p>
        </w:tc>
        <w:tc>
          <w:tcPr>
            <w:tcW w:w="88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808.2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115.6</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April 9, 2019</w:t>
            </w:r>
          </w:p>
        </w:tc>
        <w:tc>
          <w:tcPr>
            <w:tcW w:w="2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Maohua Sun</w:t>
            </w: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Ctrip Commerce (VIE)</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88.7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13, 2035</w:t>
            </w:r>
          </w:p>
        </w:tc>
        <w:tc>
          <w:tcPr>
            <w:tcW w:w="880" w:type="dxa"/>
            <w:vAlign w:val="bottom"/>
          </w:tcPr>
          <w:p>
            <w:pPr>
              <w:jc w:val="right"/>
              <w:ind w:right="338"/>
              <w:spacing w:after="0"/>
              <w:rPr>
                <w:sz w:val="20"/>
                <w:szCs w:val="20"/>
                <w:color w:val="auto"/>
              </w:rPr>
            </w:pPr>
            <w:r>
              <w:rPr>
                <w:rFonts w:ascii="Times New Roman" w:cs="Times New Roman" w:eastAsia="Times New Roman" w:hAnsi="Times New Roman"/>
                <w:sz w:val="18"/>
                <w:szCs w:val="18"/>
                <w:color w:val="auto"/>
              </w:rPr>
              <w:t>88.7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2015</w:t>
            </w:r>
          </w:p>
        </w:tc>
        <w:tc>
          <w:tcPr>
            <w:tcW w:w="2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Maohua Sun</w:t>
            </w: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Ctrip Commerce (VIE)</w:t>
            </w: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13, 2035</w:t>
            </w:r>
          </w:p>
        </w:tc>
        <w:tc>
          <w:tcPr>
            <w:tcW w:w="88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March 23, 2016</w:t>
            </w:r>
          </w:p>
        </w:tc>
        <w:tc>
          <w:tcPr>
            <w:tcW w:w="2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Hui Cao</w:t>
            </w: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Qunar Beijing (VIE)</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6.6</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Until repayment notice</w:t>
            </w:r>
          </w:p>
        </w:tc>
        <w:tc>
          <w:tcPr>
            <w:tcW w:w="880" w:type="dxa"/>
            <w:vAlign w:val="bottom"/>
          </w:tcPr>
          <w:p>
            <w:pPr>
              <w:jc w:val="right"/>
              <w:ind w:right="338"/>
              <w:spacing w:after="0"/>
              <w:rPr>
                <w:sz w:val="20"/>
                <w:szCs w:val="20"/>
                <w:color w:val="auto"/>
              </w:rPr>
            </w:pPr>
            <w:r>
              <w:rPr>
                <w:rFonts w:ascii="Times New Roman" w:cs="Times New Roman" w:eastAsia="Times New Roman" w:hAnsi="Times New Roman"/>
                <w:sz w:val="18"/>
                <w:szCs w:val="18"/>
                <w:color w:val="auto"/>
              </w:rPr>
              <w:t>6.6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23, 2016</w:t>
            </w:r>
          </w:p>
        </w:tc>
        <w:tc>
          <w:tcPr>
            <w:tcW w:w="2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Hui Wang</w:t>
            </w: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Qunar Beijing (VIE)</w:t>
            </w: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2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Until repayment notice</w:t>
            </w:r>
          </w:p>
        </w:tc>
        <w:tc>
          <w:tcPr>
            <w:tcW w:w="88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Exclusive Option Agreements</w:t>
      </w:r>
      <w:r>
        <w:rPr>
          <w:rFonts w:ascii="Times New Roman" w:cs="Times New Roman" w:eastAsia="Times New Roman" w:hAnsi="Times New Roman"/>
          <w:sz w:val="18"/>
          <w:szCs w:val="18"/>
          <w:color w:val="auto"/>
        </w:rPr>
        <w:t>. As consideration for our entering into the loan agreements described above, each of the shareholders of Ctrip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Commerce (VIE), has granted us an exclusive, irrevocable option to purchase, or designate one or more person(s) at our discretion to purchase, all of their equity interests in Ctrip Commerce (VIE) at any time we desire, subject to compliance with the applicable PRC laws and regulations. We may exercise the option by issuing a written notice to the shareholder of Ctrip Commerce (VIE). Subject to the evaluation requirements or other restrictions imposed by applicable PRC laws and regulations, the purchase price should be equal to the contribution actually made by the shareholder for the equity interest. Therefore, if we exercise these options, we may choose to cancel the outstanding loans we extended to the shareholders of Ctrip Commerce (VIE) pursuant to the loan agreements as the loans were used solely for equity contribution purposes. The initial term of these agreements is 10 years and may be renewed automatically in 10-year terms unless we disapprove the extension. This agreement is valid and binding on the parties, their heirs, successors and permitted assignees. We retain the exclusive right to terminate the agreements at any time by delivering a written notice to the shareholder of Ctrip Commerce (VIE).</w:t>
      </w:r>
    </w:p>
    <w:p>
      <w:pPr>
        <w:spacing w:after="0" w:line="187" w:lineRule="exact"/>
        <w:rPr>
          <w:sz w:val="20"/>
          <w:szCs w:val="20"/>
          <w:color w:val="auto"/>
        </w:rPr>
      </w:pPr>
    </w:p>
    <w:p>
      <w:pPr>
        <w:jc w:val="both"/>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Hui Cao and Hui Wang also entered into an equity option agreement with Qunar, Qunar Software and Qunar Beijing (VIE). This equity option agreement contains arrangements that are similar to that as described in the foregoing paragraph. This agreement will remain effective with respect to each of Qunar Beijing (VIE)’s shareholders until all of the equity interest has been transferred or Qunar and Qunar Software terminates the agreement unilaterally with 30 days’ prior written notice. This agreement is valid and binding on the parties, their successors and permitted assignees.</w:t>
      </w:r>
    </w:p>
    <w:p>
      <w:pPr>
        <w:spacing w:after="0" w:line="164"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VIEs and their shareholders agree not to enter into any transaction that would affect the assets, obligations, rights or operations of the VIEs without our prior written consent. They also agree to accept our guidance with respect to day-to-day operations, financial management systems and the appointment and dismissal of key employees.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we also enter into technical consulting and services agreements with some of the majority-owned or wholly-owned subsidiaries of the VIEs, and these subsidiaries of the VIEs pay us service fees based on the level of services provided. The existence of such technical consulting and services agreements provides us with the enhanced ability to transfer economic benefits of these majority-owned or wholly-owned subsidiaries of the VIEs to us in exchange for the services provided, and this is in addition to our existing ability to consolidate and extract the economic benefits of these majority-owned or wholly-owned subsidiaries of the VIEs. For instance, the VIEs may cause the economic benefits to be channeled to them in the form of dividends, which then may be further consolidated and absorbed by us through the contractual arrangements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Grants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Employees—B. Compensation—Employees’ Share Incentive Plans.”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other service fees to/from Tongcheng Travel</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Tongcheng Travel Holdings Limited, or Tongcheng Travel, is an equity method investee of us. Tongcheng Travel uses its platform to promote the hotel rooms provided by us from our travel suppliers and provides marketing and other services to us. We also promote Tongcheng Travel’s hotel rooms on our platform and provide technology services to Tongcheng Travel. Total commissions and other service fees paid by us to Tongcheng Travel amounted to RMB61 million (US$9 million), and total commissions and other service fees paid by Tongcheng Travel to us amounted to RMB300 million (US$43 million) for the year ended December 31,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from H World</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One of our hotel partners, H World, has a director in common with our company and a director who is a family member of one of our officers. H World has entered into agreements with us to provide hotel rooms for our customers. Total commissions H World paid us amounted to RMB182 million (US$26 million) for the year ended December 31, 2025. These commissions were paid to us in our ordinary course of business on terms substantially similar to those for our unrelated hotel suppliers.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from BTG</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BTG Hotels (Group) Co., Ltd., or BTG, is an equity method investee of us. BTG entered into agreements with us to provide hotel rooms for our customers. Total commissions from BTG amounted to RMB185 million (US$26 million) for the year ended December 31, 2025. These commissions were paid to us in our ordinary course of business on terms substantially similar to those for our unrelated hotel suppliers.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 service fees from Shangcheng Consumer Finance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Shanghai Shangcheng Consumer Finance Corporation Limited, or Shangcheng Consumer Finance, is an equity method investee of us. We provide Shangcheng Consumer Finance access to our platform to provide financial services to our users. Total technology service fees from Shangcheng Consumer Finance amounted to RMB210 million (US$30 million) for the year ended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 xml:space="preserve">   Interests of Experts and Counsel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 xml:space="preserve">   Consolidated Statements and Other Financial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appended our audited consolidated financial statements filed pursuant to “Item 18. Financial Statements” as part of this annual report.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January 2026, we received notice that the SAMR commenced an investigation into whether we have abused or are abusing a dominant market position to engage in monopolistic conduct pursuant to the PRC Anti-Monopoly Law. As of the date of this annual report, the investigation is ongoing and we are cooperating with the SAMR’s investigation. We are unable to predict the timing, outcome, or consequences of the investigation, or estimate the possible loss, if any, associated with the investigation. In addition, in March 2026, we and certain of our current officers and directors were named as defendants in a putative securities class action filed in the United States District Court for the Eastern District of New York, captioned </w:t>
      </w:r>
      <w:r>
        <w:rPr>
          <w:rFonts w:ascii="Times New Roman" w:cs="Times New Roman" w:eastAsia="Times New Roman" w:hAnsi="Times New Roman"/>
          <w:sz w:val="18"/>
          <w:szCs w:val="18"/>
          <w:i w:val="1"/>
          <w:iCs w:val="1"/>
          <w:color w:val="auto"/>
        </w:rPr>
        <w:t>De Wilde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Trip.com Group Limited et al.</w:t>
      </w:r>
      <w:r>
        <w:rPr>
          <w:rFonts w:ascii="Times New Roman" w:cs="Times New Roman" w:eastAsia="Times New Roman" w:hAnsi="Times New Roman"/>
          <w:sz w:val="18"/>
          <w:szCs w:val="18"/>
          <w:color w:val="auto"/>
        </w:rPr>
        <w:t>, Case No. 2:26-cv-01420-ST (E.D.N.Y.). The plaintiff in this case makes allegations arising out of the January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we received that the SAMR had commenced an investigation of us under the PRC Anti-Monopoly Law. Because of that notice, the plaintiff alleges that certain statements in our annual reports for the fiscal year ended December 31, 2023 and 2024, respectively, were false or misleading, in violation of Sections 10(b) and 20(a) of the U.S. Securities Exchange Act of 1934, and Rule 10b-5 promulgated thereunder. As the case remains in its preliminary stage, we are unable to predict its timing, outcome, or consequences, and cannot conclude at this point whether we will be subject to any liability or damages. Except for the SAMR investigation and this putative securities class action, we are not a party to any pending material litigation or other legal proceeding and are not aware of any pending litigation or other legal proceeding that may have a material adverse impact on our business or operations. However, we are and may continue to be subject to various legal proceedings and claims that are incidental to our ordinary course of business.</w:t>
      </w:r>
    </w:p>
    <w:p>
      <w:pPr>
        <w:sectPr>
          <w:pgSz w:w="11900" w:h="16838" w:orient="portrait"/>
          <w:cols w:equalWidth="0" w:num="1">
            <w:col w:w="11100"/>
          </w:cols>
          <w:pgMar w:left="320" w:top="482" w:right="479" w:bottom="1440" w:gutter="0" w:footer="0" w:header="0"/>
        </w:sectPr>
      </w:pP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1100"/>
          </w:cols>
          <w:pgMar w:left="320" w:top="482" w:right="47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we will distribute dividends in the future, subject to applicable laws. Even if our board of directors determines to distribute dividends, the form, frequency and amount of our dividends will depend upon our future operations and earnings, capital requirements and surplus, general financial condition, contractual restrictions, potential tax implications, and other factors as the board of directors may deem relevant. Any dividend we declare will be paid to the holders of ADSs, subject to the terms of the deposit agreement, to the same extent as holders of our ordinary shares, less the fees and expenses payable under the deposit agreement. Any dividend we declare will be distributed by the depositary bank to the holders of our ADSs. Cash dividends on our ordinary shares, including those represented by the ADSs, if any, will be paid in U.S. dollars.</w:t>
      </w:r>
    </w:p>
    <w:p>
      <w:pPr>
        <w:spacing w:after="0" w:line="189"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In November 2023, our board of directors adopted a regular capital return policy to benefit our shareholders and ADS holders in the form of discretionary annual share repurchases, discretionary annual cash dividend declarations, or a combination thereof, commencing from the year 2024. Under the policy, our board of directors reserves the discretion relating to the determination of the form, timing, and amount of the capital return measures in any particular year, depending on our financial condition, results of operations, cash flow, capital requirements, and other relevant factors. In February 2025, pursuant to the regular capital return policy, our board of directors approved a cash dividend of US$0.30 per ordinary share, or US$0.30 per ADS, to holders of ordinary shares and holders of ADSs. The aggregate amount of the dividend was approximately US$200 million.</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 xml:space="preserve">   Significant Changes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 xml:space="preserve">   Offer and Listing Details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ADSs have been listed on the Nasdaq Global Market since December 2003 and the Nasdaq Global Select Market since July 2006. Our ADSs were previously traded under the symbol “CTRP” and are currently traded under the symbol “TCOM,” starting from November 5, 2019. Currently, each of our ADSs represents one ordinary share of our company, par value US$0.00125 per share.</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ordinary shares have been listed on the Hong Kong Stock Exchange since April 2021 under the stock code “9961.” Our principal place of business in Hong Kong is Suites 3501-06&amp;12, 35/F, Tower 2, The Gateway, Tsim Sha Tsui, Hong Kong.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 xml:space="preserve">   Plan of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 xml:space="preserve">   Markets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Nasdaq Global Market since December 2003 and on the Nasdaq Global Select Market since July 2006. Our ADSs are currently traded under the symbol “TCOM.”</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ordinary shares have been listed on the Hong Kong Stock Exchange since April 2021 under the stock code “9961.”</w:t>
      </w:r>
    </w:p>
    <w:p>
      <w:pPr>
        <w:spacing w:after="0" w:line="329"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 xml:space="preserve">   Selling Shareholders</w:t>
      </w:r>
    </w:p>
    <w:p>
      <w:pPr>
        <w:spacing w:after="0" w:line="121"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82"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Dilution</w:t>
      </w:r>
    </w:p>
    <w:p>
      <w:pPr>
        <w:spacing w:after="0" w:line="12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9" w:lineRule="exact"/>
        <w:rPr>
          <w:rFonts w:ascii="Times New Roman" w:cs="Times New Roman" w:eastAsia="Times New Roman" w:hAnsi="Times New Roman"/>
          <w:sz w:val="18"/>
          <w:szCs w:val="18"/>
          <w:color w:val="auto"/>
        </w:rPr>
      </w:pPr>
    </w:p>
    <w:p>
      <w:pPr>
        <w:ind w:left="560" w:right="8960" w:hanging="444"/>
        <w:spacing w:after="0" w:line="412" w:lineRule="auto"/>
        <w:tabs>
          <w:tab w:leader="none" w:pos="5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31" w:lineRule="exact"/>
        <w:rPr>
          <w:sz w:val="20"/>
          <w:szCs w:val="20"/>
          <w:color w:val="auto"/>
        </w:rPr>
      </w:pPr>
    </w:p>
    <w:p>
      <w:pPr>
        <w:ind w:left="560" w:right="9460" w:hanging="444"/>
        <w:spacing w:after="0" w:line="450" w:lineRule="auto"/>
        <w:tabs>
          <w:tab w:leader="none" w:pos="55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Share Capital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Memorandum and Articles of Association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9" w:lineRule="exact"/>
        <w:rPr>
          <w:sz w:val="20"/>
          <w:szCs w:val="20"/>
          <w:color w:val="auto"/>
        </w:rPr>
      </w:pPr>
    </w:p>
    <w:p>
      <w:pPr>
        <w:jc w:val="both"/>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All of our issued and outstanding ordinary shares are fully paid and non-assessable. Our ordinary shares are issued in registered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are issued when entered in our register of members. Our shareholders who are non-residents of the Cayman Islands may freely hold and vote their shares.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The holders of our ordinary shares are entitled to such dividends as may be declared by our board of directors subject to the Companies</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w:t>
      </w:r>
    </w:p>
    <w:p>
      <w:pPr>
        <w:spacing w:after="0" w:line="20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Subject to certain exceptions as required by the Hong Kong Listing Rules, and subject to any rights and restrictions for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attached to any shares, every shareholder present at a general meeting of our shareholders shall have (i) on a show of hands, one vote, and (ii) on a poll, one vote for each share held by such shareholder. Voting at any meeting of shareholders is by show of hands unless before or on the declaration of the result of the show of hands, a poll is demanded. A poll may be demanded by the chairman of the meeting or any shareholder or shareholders collectively present in person or by proxy and holding at least ten percent in par value of the shares giving a right to attend and vote at the meeting.</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quorum required for a meeting of shareholders is two shareholders provided always that if our company has only one member of record the quorum should be that one shareholder; provided, however, that in no case should such quorum be less than one-third of the issued and outstanding voting shares in the capital of our company. Shareholders’ meetings may be convened by our board of directors on its own initiative, or by the chairman of our board of directors, or upon a request to the directors by shareholders holding in aggregate not less than ten per cent in par value of our share capital for as long as our shares remain listed on the Hong Kong Stock Exchange. For as long as our shares remain listed on the Hong Kong Stock Exchange, our company must hold an annual general meeting within six (6) months (or such other period as may be permitted by the Hong Kong Listing Rules or the Hong Kong Stock Exchange) after the end of our company’s financial year. For as long as our shares remain listed on the Hong Kong Stock Exchange, annual general meetings must be called by not less than twenty-one (21) days’ notice in writing and any extraordinary general meetings must be called by not less than fourteen (14) days’ notice in writing. Otherwise, at least seven days’ notice is required for the convening of any of our general meetings of shareholders.</w:t>
      </w:r>
    </w:p>
    <w:p>
      <w:pPr>
        <w:spacing w:after="0" w:line="19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 less than two-thirds of the votes attaching to the ordinary shares cast in a general meeting. A special resolution is required for matters such as a change of name or amending the memorandum and articles of association. Holders of our ordinary shares may by ordinary resolution, among other things, make changes in the amount of our authorized share capital and consolidate and divide all or any of our share capital into shares of larger amount than our existing share capital and cancel any authorized but unissued shares.</w:t>
      </w:r>
    </w:p>
    <w:p>
      <w:pPr>
        <w:spacing w:after="0" w:line="18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Our company may be wound up voluntarily by a special resolution of our company (or, if our company is unable to pay its debts,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ordinary resolution). If our company is wound up, the liquidator may, with the sanction of a special resolution of our company and any other sanction required by the Companies Act, divide amongst our shareholders in kind the whole or any part of the assets of our company (whether they consist of property of the same kind or not) and may for that purpose value any assets and determine how the division should be carried out as between the shareholders or different classes of shareholders. The liquidator may, with the like sanction, vest the whole or any part of such assets in trustees upon such trusts for the benefit of the shareholders as the liquidator, with the like sanction, thinks fit, but so that no shareholder will be compelled to accept any asset upon which there is a liability.</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 amounts unpaid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the terms that such shares are subject to redemption, at our option or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of the holders thereof on such terms and in such manner as may be determined, prior to the issue of such shares, by special resolution. Our company may also repurchase any of our shares (including redeemable shares) provided that the manner of such purchase has been authorized by an ordinary resolution of our shareholders. Under the Companies Act, the redemption or repurchase of any share may be paid out of our company’s profits or share premium account or out of the proceeds of a fresh issue of shares made for the purpose of such redemption or repurchase, or out of capital if our company will, immediately following such payment, be able to pay its debts as they fall due in the ordinary course of business. In addition, under the Companies Act, no such share may be redeemed or repurchased (a) unless it is fully paid up, (b) if such redemption or repurchase would result in there being no shares outstanding, or (c) if our company has commenced liquidation. In addition, our company may accept the surrender of any fully paid share for no consideration.</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the share capital of our company is divided into different classes of shares, the rights attached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(unless otherwise provided by the terms of issue of the shares of that class) may, whether or not our company is being wound-up and except where our articles of association or the Companies Act impose any stricter quorum, voting or procedural requirements in regard to the variation of rights attached to a specific class, be varied either with the consent in writing of the holders of 75% of the issued shares of that class or with the sanction of a special resolution passed at a general meeting of the holders of the shares of that class.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Rights Plan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November 23, 2007, our board of directors implemented a shareholder rights plan through the adoption of a rights agreement. The rights agreement has been amended eight times since its adoption, most recently on July 26, 2024, at which time the termination date was extended to July 25, 2034. Subject to exceptions, in the event that any person (and its affiliates) acquires 10% or more of our outstanding shares, holders of any shares other than that person (and its affiliates) will be able to exercise the right to purchase one additional ordinary share for each ordinary share they already hold, at a significant discount to the market price, subject to adjustments. The rights agreement is intended to encourage anyone seeking to acquire our company to negotiate with our board of directors prior to attempting a takeover. The rights agreement was not adopted in response to any specific effort to acquire control of our company.</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amended the shareholder rights agreement since its adoption to include or remove exceptions for specific investors. Currently, Baidu, Inc. and its subsidiaries may collectively acquire up to 27% of our outstanding ordinary shares without triggering the share purchase rights, and Naspers Limited, MIH Internet SEA Private Limited and their respective subsidiaries may collectively acquire up to 11% of our outstanding ordinary shares without triggering the share purchase rights. In addition, shareholders who file or are entitled to file a beneficial ownership statement on Schedule 13G pursuant to Rule 13d-1(b)(1) of the Exchange Act, typically institutional investors with no intention to acquire control of the issuer, may beneficially own up to 20% of our total outstanding shares before the share purchase rights are triggered.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Maples Corporate Services Limited, PO Box 309, Ugland House, Grand Cayman, KY1-1104, Cayman Islands, or at such other place as our directors may from time to time decide. The objects for which our company is established are unrestricted and we have full power and authority to carry out any object not prohibited by the Companies Act or any other law of the Cayman Islands.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82"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eight directors. Our board of directors may exercise all the powers of our company to borrow money, to mortgage or charge its undertaking, property and uncalled capital, or any part thereof, and to issue debentures, debenture stock or other securities whether outright or as security for any debt, liability or obligation of our company or of any third party. A director may vote with respect to any contract or transaction in which he or she is interested as long as he or she has made a declaration of the nature of such interest. A director is not required to hold any shares in our company by way of qualification, and there is no requirement for a director to retire at any age limit.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 compensation committee that assists the board in reviewing and approving the compensation structure and form of compensation of our directors and executive officers. Members of the compensation committee are not prohibited from direct involvement in determining their own compensation. Our chief executive officer may not be present at any committee meeting during which her compensation is deliberated.</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details of our board of directors and its committees, see “Item 6. Directors, Senior Management and Employees—C. Board Practices.”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certain significant differences between the provisions of the Companies Act applicable to us and the comparable provisions of the laws applicable to companies incorporated in the United States and their shareholders.</w:t>
      </w:r>
    </w:p>
    <w:p>
      <w:pPr>
        <w:spacing w:after="0" w:line="17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Mergers and Similar Arrangements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Companies Act permits mergers and consolidations between Cayman Islands companies and between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in the consolidated company. In order to effect such a merger or consolidation, the directors of each constituent company must approve a written plan of merger or consolidation, which must then be authorized by (i) a special resolution of the shareholders of each constituent company, and</w:t>
      </w:r>
    </w:p>
    <w:p>
      <w:pPr>
        <w:spacing w:after="0" w:line="4" w:lineRule="exact"/>
        <w:rPr>
          <w:sz w:val="20"/>
          <w:szCs w:val="20"/>
          <w:color w:val="auto"/>
        </w:rPr>
      </w:pPr>
    </w:p>
    <w:p>
      <w:pPr>
        <w:ind w:left="120" w:hanging="4"/>
        <w:spacing w:after="0" w:line="251" w:lineRule="auto"/>
        <w:tabs>
          <w:tab w:leader="none" w:pos="3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set out in the Companies Act, subject to certain exceptions.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 Court approval is not required for a merger or consolidation which is effected in compliance with these statutory procedures.</w:t>
      </w:r>
    </w:p>
    <w:p>
      <w:pPr>
        <w:spacing w:after="0" w:line="19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of the Cayman Islands can be expected to approve the arrangement if it determines that:</w:t>
      </w:r>
    </w:p>
    <w:p>
      <w:pPr>
        <w:spacing w:after="0" w:line="94"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it may be reasonably approved by an intelligent and honest man of that class acting in respect of his interest;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79"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Shareholders’ Suits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action may 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class action against, or derivative actions in the name of, our company to challenge:</w:t>
      </w:r>
    </w:p>
    <w:p>
      <w:pPr>
        <w:spacing w:after="0" w:line="89"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ultra vires or illegal and is therefore incapable of ratification by the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against the minority where the wrongdoers are themselves in control of the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requires a resolution with a qualified (or special) majority (i.e., more than a simple majority) which has not been obtained.</w:t>
      </w:r>
    </w:p>
    <w:p>
      <w:pPr>
        <w:spacing w:after="0" w:line="221"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Indemnification of Directors and Executive Officers and Limitation of Liability</w:t>
      </w:r>
      <w:r>
        <w:rPr>
          <w:rFonts w:ascii="Times New Roman" w:cs="Times New Roman" w:eastAsia="Times New Roman" w:hAnsi="Times New Roman"/>
          <w:sz w:val="17"/>
          <w:szCs w:val="17"/>
          <w:color w:val="auto"/>
        </w:rPr>
        <w:t>. Cayman Islands law does not limit the extent to which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each of our officers and directors against any liability incurred by him as a result of any act or failure to act in carrying out his functions other than such liability (if any) that he may incur by his own willful neglect or default. This standard of conduct is generally the same as permitted under the Delaware General Corporation Law for a Delaware corporation.</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82"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a director to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a director to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8"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Shareholder Proposals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Delaware General Corporation Law, a shareholder has the right to put any proposal before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not less than ten per cent in par value of the capital of our company attaching to the issued and outstanding shares of our company entitled to vote at general meetings, for as long as our shares remain listed on the Hong Kong Stock Exchange, to requisition a shareholder’s meeting, in which case our directors should convene an extraordinary general meeting. Other than this right to requisition a shareholders’ meeting, our memorandum and articles of association do not provide our shareholders with any other right to put a proposal before any annual general meetings or extraordinary general meetings not called by such shareholders. As an exempted Cayman Islands company, we are not obliged by law to call shareholders’ annual general meetings. However, our articles of association require that, for as long as we remain listed on the Hong Kong Stock Exchange, we shall in each financial year hold a general meeting as our annual general meeting, to be held within six months (or such other period as may be permitted by the Hong Kong Listing Rules) after the end of our financial year.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Cumulative Voting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Removal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Delaware General Corporation Law, a director of a corporation with a classified board may be removed only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 with the approval of a majority of the outstanding shares entitled to vote, unless the certificate of incorporation provides otherwise. Under our memorandum and articles of association, three directors (each, a “Founder Director”) shall be appointed by our founders, subject to approval of a majority of our independent directors; one director shall be our current chief executive officer; and the remaining directors (each, an “Ordinary Director”) shall be appointed by an ordinary resolution of our shareholders. The Founder Directors may only be removed by the shareholders who nominated and elected such directors, whereas Ordinary Directors may be removed by an ordinary resolution of our shareholders. Notwithstanding the foregoing, for as long as we remain listed on the Hong Kong Stock Exchange, any director may be removed with or without cause, by an ordinary resolution of our shareholders. A director’s office will be vacated if the director (i) gives notice in writing to us that he resigns the office of director,</w:t>
      </w:r>
    </w:p>
    <w:p>
      <w:pPr>
        <w:spacing w:after="0" w:line="5" w:lineRule="exact"/>
        <w:rPr>
          <w:sz w:val="20"/>
          <w:szCs w:val="20"/>
          <w:color w:val="auto"/>
        </w:rPr>
      </w:pPr>
    </w:p>
    <w:p>
      <w:pPr>
        <w:ind w:left="120" w:right="40" w:hanging="4"/>
        <w:spacing w:after="0" w:line="253" w:lineRule="auto"/>
        <w:tabs>
          <w:tab w:leader="none" w:pos="3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absents himself (without being represented by proxy or an alternate director appointed by him) from three consecutive meetings of the board of directors without special leave of absence from the directors, and they pass a resolution that he has by reason of such absence vacated office, (iii) dies, becomes bankrupt or makes any arrangement or composition with his creditors generally, or (iv) is found to be or becomes of unsound mind. Subject to the foregoing sentence, each director will hold office until the expiration of his term and until his successor has been elected and qualified in accordance with the memorandum and articles of association.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the fiduciary duties which they owe to our company under Cayman Islands law, including the duty to ensure that, in their opinion, any such transactions are bona fide in the best interests of our company and are entered into for a proper purpose and not with the effect of constituting a fraud on the minority shareholders.</w:t>
      </w:r>
    </w:p>
    <w:p>
      <w:pPr>
        <w:spacing w:after="0" w:line="179"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Restructuring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grounds that the company:</w:t>
      </w:r>
    </w:p>
    <w:p>
      <w:pPr>
        <w:spacing w:after="0" w:line="64"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82"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should be proceeded with or commenced against the company, no resolution to wind up the company should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8"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 approves the proposal to dissolve,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2"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Cayman Islands law and our memorandum and articles of association, if our share capital is divided into different classes of shares, the rights attached to any class (unless otherwise provided by the terms of issue of the shares of that class) may be varied with the consent in writing of the holders of 75% of the issued shares of that class or with the sanction of a special resolution passed at a general meeting of the holders of the shares of that class.</w:t>
      </w:r>
    </w:p>
    <w:p>
      <w:pPr>
        <w:spacing w:after="0" w:line="179"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Delaware General Corporation Law, a corporation’s governing documents may be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Under the Companies Act, our memorandum and articles of association may only be amended by a special resolution of our shareholders.</w:t>
      </w:r>
    </w:p>
    <w:p>
      <w:pPr>
        <w:spacing w:after="0" w:line="171"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memorandum and articles of association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of non-resident or foreign shareholders to hold or exercise voting rights on our shares.</w:t>
      </w:r>
    </w:p>
    <w:p>
      <w:pPr>
        <w:spacing w:after="0" w:line="15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Delaware General Corporation Law, any shareholder of a corporation may for any proper purpose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inspect or make copies of the corporation’s stock ledger, list of shareholders and other books and records.</w:t>
      </w:r>
    </w:p>
    <w:p>
      <w:pPr>
        <w:spacing w:after="0" w:line="15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However, we intend to provide our shareholders with annual reports containing audited financial statements. Further, pursuant to our articles of association, any register of members held in Hong Kong shall during normal business hours (subject to such reasonable restrictions as our board of directors may impose) be open for inspection by a shareholder without charge, provided that we may be permitted to close any register of members held in Hong Kong on terms equivalent to section 632 of the Companies Ordinance (Cap. 622 of the Laws of Hong Kong) (as in force from time to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 Contracts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than an indenture dated June 7, 2024 constituting US$1.5 billion 0.75% Convertible Senior Notes due 2029, contracts entered into in the ordinary course of business and contracts described under “Item 4. Information on the Company,” “Item 7. Major Shareholders and Related Party Transactions” or elsewhere in this annual report, we have not entered into a material contract during the two years immediately preceding the date of this annual report.</w:t>
      </w:r>
    </w:p>
    <w:p>
      <w:pPr>
        <w:spacing w:after="0" w:line="324"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Exchange Controls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See “Item 4. Information on the Company—B. Business Overview—Government Regulations—PRC Regulations—Regulations Relating to Foreign Exchange Supervision” and “Item 4. Information on the Company—B. Business Overview—Government Regulations—PRC Regulations— Regulations Relating to Dividend Distributions.”</w:t>
      </w:r>
    </w:p>
    <w:p>
      <w:pPr>
        <w:spacing w:after="0" w:line="320"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Taxation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Cayman Islands, PRC, and U.S. federal income tax consequences of an investment in our ADSs or ordinary shares is based upon laws and the interpretations thereof in effect as of the date of this annual report, all of which are subject to change. This summary does not deal with all possible tax consequences relating to an investment in our ADSs or ordinary shares, such as the tax consequences under state, local, and other tax laws not addressed herein.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According to Maples and Calder (Hong Kong) LLP, 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treaty with any country that is applicable to any payments made to or by us.</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have obtained an undertaking from the Financial Secretary of the Cayman Islands that, in accordance with section 6 of the Tax Concessions Act of the Cayman Islands, for a period of 20 years from December 12, 2019, no law which is enacted in the Cayman Islands imposing any tax to be levied on profits, income, gains or appreciations will apply to us or our operations and, in addition, no tax to be levied on profits, income, gains or appreciations or which is in the nature of estate duty or inheritance tax will be payable (i) on or in respect of the shares, debentures or other obligations of our company or (ii) by way of the withholding in whole or in part of any relevant payment as defined in the Tax Concessions Act of the Cayman Islands.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PRC tax authorities determine that our Cayman Islands holding company is a “resident enterprise” for PRC enterprise income tax purposes, a withholding tax of 10% may be imposed on dividends that non-PRC resident enterprise holders of our ADSs receive from us and on gains realized on their sale or other disposition of ADSs, if such income is considered as income derived from within China.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ordinary shares by a U.S. Holder (as defined below) that will hold our ADSs or ordinary shares as “capital assets” within the meaning of Section 1221 of the U.S. Internal Revenue Code of 1986, as amended, or the U.S. Internal Revenue Code (generally, property held for investment). This discussion is based on the U.S. Internal Revenue Code, U.S. Treasury regulations promulgated thereunder, published positions of the Internal Revenue Service, or the IRS, court decisions and other applicable authorities, all as currently in effect as of the date hereof and all of which are subject to change or differing interpretations (possibly with retroactive effect). There can be no assurance that the IRS will not challenge the U.S. federal income tax treatment described below or that, if challenged, such treatment will be sustained by a court.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82"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U.S. federal income tax considerations that may be applicable to U.S. Holders in light of their particular circumstances or U.S. Holders subject to special treatment under U.S. federal income tax law, such as:</w:t>
      </w:r>
    </w:p>
    <w:p>
      <w:pPr>
        <w:spacing w:after="0" w:line="67"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mark their securities to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ADSs or ordinary shares as part of a “straddle,” conversion or other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equity (by vote or value).</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this discussion does not address any U.S. state or local or non-U.S. tax considerations or any U.S. federal estate, gift, minimum tax or Medicare tax on certain net investment income considerations. U.S. Holders should consult their tax advisors concerning the U.S. federal income tax considerations to them in light of their particular situation as well as any considerations arising under the laws of any other taxing jurisdiction.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For purposes of this discussion, a “U.S. Holder” is a beneficial owner of our ADSs or ordinary shares that is, for U.S. federal income tax purposes:</w:t>
      </w:r>
    </w:p>
    <w:p>
      <w:pPr>
        <w:spacing w:after="0" w:line="142"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primary supervision of a court within the United States and the control of one or more U.S. persons or (ii) has a valid election in effect under applicable U.S. Treasury regulations to be treated as a U.S. person.</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our ADSs or ordinary shares, the U.S. federal income tax treatment of a partner will generally depend on the status of the partner and the activities of the partnership. Partners in a partnership holding our ADSs or ordinary shares should consult their tax advisors regarding the tax considerations generally applicable to them of the ownership and disposition of our ADSs or ordinary shares.</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have been and will be complied with in accordance with their terms. If a U.S. Holder holds ADSs, such holder should be treated as the beneficial holder of the underlying ordinary shares represented by those ADSs for U.S. federal income tax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any cash distributions (including the amount of any PRC tax withheld if we are deemed to be a PRC resident enterprise under PRC tax law) paid on our ADSs or ordinary shares out of our current or accumulated earnings and profits, as determined under U.S. federal income tax principles, will generally be includible in a U.S. Holder’s gross income as dividend income on the day actually or constructively received by such holder. Because we do not intend to determine our earnings and profits on the basis of U.S. federal income tax principles, any distribution paid will generally be treated as dividend income for U.S. federal income tax purposes. Dividends received on our ADSs or ordinary shares will not be eligible for the dividends received deduction allowed to corporations under the U.S. Internal Revenue Code.</w:t>
      </w:r>
    </w:p>
    <w:p>
      <w:pPr>
        <w:spacing w:after="0" w:line="3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Individuals and other non-corporate recipients will be subject to tax at the lower capital gain tax rate applicable to “qualified dividend income,” provided that certain conditions are satisfied, including that (i) our ADSs or ordinary shares are readily tradable on an established securities market in the United States, or, in the event that we are deemed to be a PRC resident enterprise under the PRC tax law, we are eligible for the benefits of the U.S.-PRC income tax treaty, (ii) we are neither a PFIC nor treated as such with respect to a U.S. Holder (as discussed below) for the taxable year in which the dividend was paid and the preceding taxable year, and (iii) certain holding period requirements are met. Our ADSs, but not our ordinary shares, are listed on the Nasdaq Global Select Market, so we anticipate that our ADSs should qualify as readily tradable on an established securities market in the United States, although there can be no assurances in this regard. In the event that we are deemed to be a PRC resident enterprise under PRC tax law, a U.S. Holder may be subject to PRC withholding taxes on dividends paid on our ADSs or ordinary shares. If we are deemed to be a PRC resident enterprise, we may, however, be eligible for the benefits of the U.S.-PRC income tax treaty. If we are eligible for such benefits, dividends we pay on our ordinary shares, regardless of whether such shares are represented by our ADSs, would be eligible for the reduced rates of taxation applicable to qualified dividend income, as discussed above.</w:t>
      </w:r>
    </w:p>
    <w:p>
      <w:pPr>
        <w:spacing w:after="0" w:line="192"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For U.S. foreign tax credit purposes, dividends will generally be treated as income from foreign sources and will generally constitute passive category income. Depending on a U.S. Holder’s particular circumstances, such holder may be eligible, subject to a number of complex limitations, to claim a foreign tax credit in respect of any foreign withholding taxes imposed on dividends received on our ADSs or ordinary shares. If a U.S. Holder does not elect to claim a foreign tax credit for foreign tax withheld, such holder is permitted instead to claim a deduction, for U.S. federal income tax purposes, for the foreign tax withheld, but only for a year in which such holder elects to do so for all creditable foreign income taxes. The rules governing the foreign tax credit are complex. U.S. Holders should consult their tax advisors regarding the availability of the foreign tax credit under their particular circumstances.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Dispositions</w:t>
      </w:r>
    </w:p>
    <w:p>
      <w:pPr>
        <w:spacing w:after="0" w:line="12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Subject to discussion below under “—Passive Foreign Investment Company Rules,” a U.S. Holder will generally recognize capital gain or loss upon the sale or other taxable disposition of our ADSs or ordinary shares in an amount equal to the difference, if any, between the amount realized upon the disposition and such holder’s adjusted tax basis in such ADSs or ordinary shares. Any capital gain or loss will be long-term capital gain or loss if the U.S. Holder held the ADSs or ordinary shares for more than one year and will generally be U.S.-source gain or loss for U.S. foreign tax credit purposes. In the event that we are deemed to be a PRC resident enterprise under PRC tax law and gain from the disposition of the ADSs or ordinary shares is subject to tax in China, such gain may be treated as PRC-source gain for U.S. foreign tax credit purposes under the U.S.-PRC income tax treaty. The deductibility of a capital loss may be subject to limitations. U.S. Holders should consult their tax advisors regarding the tax considerations if a foreign tax is imposed on a disposition of our ADSs or ordinary shares, including the availability of the foreign tax credit under their particular circumstances.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produces or is held for the production of passive income. Passive income generally includes dividends, interest, royalties, rents, annuities, net gains from the sale or exchange of property producing such income and net foreign currency gains. For this purpose, cash is categorized as a passive asset and the company’s unbooked intangibles associated with active business activity are taken into account as non-passive assets. We will be treated as owning our proportionate share of the assets and earning our proportionate share of the income of any other corporation in which we own, directly or indirectly, at least 25% (by value) of the stock.</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the VIEs as being owned by us for U.S. federal income tax purposes because we control their management decisions and we are entitled to substantially all of their economic benefits and, as a result, we consolidate their results of operations in our consolidated U.S. GAAP financial statements. If it were determined, however, that we are not the owner of the VIEs for U.S. federal income tax purposes, we would likely be treated as a PFIC for our current taxable year and any subsequent taxable years.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8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Assuming we are the owner of the VIEs for U.S. federal income tax purposes, based on the market price of our ADSs and the nature and composition of our income and assets, we do not believe that we were classified as a PFIC for the taxable year ended December 31, 2025, and we do not expect to be a PFIC for the foreseeable future. However, no assurances can be given with regard to our PFIC status for our current or subsequent taxable years because our PFIC status is a factual determination made annually after the close of each taxable year that will depend, in part, on the composition of our income and assets. Because the value of our assets for purposes of the asset test may be determined by reference to the market price of our ADSs from time to time (which may be volatile), changes in the nature of our income or assets or the value of our ADSs may cause us to become a PFIC for the current or any subsequent taxable year. Recent declines in the market price of our ADSs increased our risk of being or becoming a PFIC. The market price of the ADSs and ordinary shares may continue to fluctuate considerably; consequently, we cannot assure you of our PFIC status for any taxable year. Under circumstances where revenues from activities that produce passive income significantly increase relative to our revenues from activities that produce non-passive income, or where we determine not to expend significant amounts of cash for working capital or other purposes, our risk of becoming classified as a PFIC may substantially increase.</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ordinary shares, such holder will be subject to special tax rules with respect to any “excess distribution” that such holder receives and any gain such holder realizes from a sale or other disposition (including a pledge) of our ADSs or ordinary shares, unless such holder makes a “mark-to-market” election as discussed below. Distributions a U.S. Holder receives in a taxable year that are greater than 125% of the average annual distributions such holder received during the shorter of the three preceding taxable years or such holder’s holding period for the ADSs or ordinary shares will be treated as an excess distribution. Under these special tax rules:</w:t>
      </w:r>
    </w:p>
    <w:p>
      <w:pPr>
        <w:spacing w:after="0" w:line="93"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such holder’s holding period for the ADSs or ordinary shares;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the current taxable year, and any taxable years in such holder’s holding period prior to the first taxable year in which we are classified as a PFIC, or a pre-PFIC year, will be taxable as ordinary income;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each prior taxable year, other than a pre-PFIC year, will be subject to tax at the highest tax rate in effect applicable to such holder for that year, and such amounts will be increased by an additional tax equal to interest on the resulting tax deemed deferred with respect to such years.</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ordinary shares and any of our non-U.S. subsidiaries are also PFICs, such holder will be treated as owning a proportionate amount (by value) of the shares of each such non-U.S. subsidiary classified as a PFIC for purposes of the application of these rules.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Alternatively, a U.S. Holder of “marketable stock” (as defined below) in a PFIC may make a mark-to-market election for such stock of a PFIC to elect out of the tax treatment discussed in the two preceding paragraphs. If a U.S. Holder makes a valid mark-to-market election for the ADSs, such holder will include in income each year an amount equal to the excess, if any, of the fair market value of the ADSs as of the close of such holder’s taxable year over such holder’s adjusted basis in such ADSs. The U.S. Holder will be allowed a deduction for the excess, if any, of the adjusted basis of the ADSs over their fair market value as of the close of the taxable year. However, deductions will be allowable only to the extent of any net mark-to-market gains on the ADSs included in the U.S. Holder’s income for prior taxable years. Amounts included in the U.S. Holder’s income under a mark-to-market election, as well as gain on the actual sale or other disposition of the ADSs, will be treated as ordinary income. Ordinary loss treatment will also apply to the deductible portion of any mark-to-market loss on the ADSs, as well as to any loss realized on the actual sale or disposition of the ADSs, to the extent that the amount of such loss does not exceed the net mark-to-market gains previously included for such ADSs. A U.S. Holder’s basis in the ADSs will be adjusted to reflect any such gain or loss amounts. If a U.S. Holder makes a valid mark-to-market election, and we subsequently cease to be classified as a PFIC, such holder will not be required to take into account the mark-to-market income or loss described above during any period that we are not classified as a PFIC.</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82"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in other words, regularly traded, on a qualified exchange or other market, as defined in applicable U.S. Treasury regulations. Our ADSs are listed on the Nasdaq Global Select Market, which is a qualified exchange for these purposes, and, consequently, assuming that the ADSs are regularly traded, it is expected that the mark-to-market election would be available to U.S. Holders of ADSs (but not our ordinary shares) if we are or become a PFIC.</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Because, as a technical matter, a mark-to-market election cannot be made for any lower-tier PFICs that we may own, a U.S. Holder may continue to be subject to the PFIC rules with respect to such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provide the information necessary for U.S. Holders to make qualified electing fund elections in the event that we are classified as a PFIC.</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are classified as a PFIC, a U.S. Holder must file an annual report with the IRS. U.S. Holders should consult their tax advisors concerning the U.S. federal income tax considerations of owning and disposing of our ADSs or ordinary shares if we are or become a PFIC, including the unavailability of a qualified electing fund election, the possibility of making a mark-to-market election and the annual PFIC filing requirements, if any.</w:t>
      </w:r>
    </w:p>
    <w:p>
      <w:pPr>
        <w:spacing w:after="0" w:line="320" w:lineRule="exact"/>
        <w:rPr>
          <w:sz w:val="20"/>
          <w:szCs w:val="20"/>
          <w:color w:val="auto"/>
        </w:rPr>
      </w:pPr>
    </w:p>
    <w:p>
      <w:pPr>
        <w:ind w:left="560" w:right="8380" w:hanging="444"/>
        <w:spacing w:after="0" w:line="412" w:lineRule="auto"/>
        <w:tabs>
          <w:tab w:leader="none" w:pos="5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color w:val="auto"/>
        </w:rPr>
      </w:pPr>
    </w:p>
    <w:p>
      <w:pPr>
        <w:ind w:left="560" w:right="9000" w:hanging="444"/>
        <w:spacing w:after="0" w:line="450" w:lineRule="auto"/>
        <w:tabs>
          <w:tab w:leader="none" w:pos="552"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Statement by Experts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Documents on Display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All information we file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As a foreign private issuer, (i) we are exempt from the rules under the Exchange Act prescribing the furnishing and content of quarterly reports and proxy statements, (ii) our officers and directors are exempt from the short-swing rules contained in Section 16 of the Exchange Act, and (iii) our principal shareholders are exempt from the reporting and short-swing rules contained in Section 16 of the Exchange Act.</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328" w:lineRule="exact"/>
        <w:rPr>
          <w:sz w:val="20"/>
          <w:szCs w:val="20"/>
          <w:color w:val="auto"/>
        </w:rPr>
      </w:pPr>
    </w:p>
    <w:p>
      <w:pPr>
        <w:ind w:left="560" w:right="8820" w:hanging="444"/>
        <w:spacing w:after="0" w:line="412" w:lineRule="auto"/>
        <w:tabs>
          <w:tab w:leader="none" w:pos="5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Subsidiary Information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color w:val="auto"/>
        </w:rPr>
      </w:pPr>
    </w:p>
    <w:p>
      <w:pPr>
        <w:ind w:left="560" w:right="8000" w:hanging="444"/>
        <w:spacing w:after="0" w:line="401" w:lineRule="auto"/>
        <w:tabs>
          <w:tab w:leader="none" w:pos="5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Our exposure to interest rate risk primarily relates to interest income generated by bank deposit and short-term investment,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interest expenses associated with floating rate based bank borrowings and syndicated loans. For information about these notes and bank borrowings, see “Item 5. Operating and Financial Review and Prospects—B. Liquidity and Capital Resources.” We have used interest swap contracts to hedge our exposure to interest rate risk. Based on our cash balance as of December 31, 2025, a one basis point decrease in interest rates would result in an RMB10 million (US$1 million) decrease in our interest income on an annual basis. Our future interest income may fluctuate in line with changes in interest rates. We have not used derivative financial instruments to reduce the risk for the fixed rate based bank borrowings. We have not been exposed to nor do we anticipate being exposed to material risks due to changes in interest rates for the fixed rate based bank borrowings.</w:t>
      </w:r>
    </w:p>
    <w:p>
      <w:pPr>
        <w:spacing w:after="0" w:line="18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Foreign Exchange Risk</w:t>
      </w:r>
      <w:r>
        <w:rPr>
          <w:rFonts w:ascii="Times New Roman" w:cs="Times New Roman" w:eastAsia="Times New Roman" w:hAnsi="Times New Roman"/>
          <w:sz w:val="18"/>
          <w:szCs w:val="18"/>
          <w:color w:val="auto"/>
        </w:rPr>
        <w:t>. The majority of our revenues are denominated in Renminbi. While a portion of our financial assets, financial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dividend payments are denominated in U.S. dollars, we may use foreign exchange spot, forwards, or other contracts to hedge our exposure to foreign currency risk where we deem it necessary. 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global economic conditions and foreign exchange policies, among other things. It is difficult to predict how market forces or government policies may impact the exchange rate between Renminbi and other currencies in the future.</w:t>
      </w:r>
    </w:p>
    <w:p>
      <w:pPr>
        <w:spacing w:after="0" w:line="182"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Investment Risk</w:t>
      </w:r>
      <w:r>
        <w:rPr>
          <w:rFonts w:ascii="Times New Roman" w:cs="Times New Roman" w:eastAsia="Times New Roman" w:hAnsi="Times New Roman"/>
          <w:sz w:val="18"/>
          <w:szCs w:val="18"/>
          <w:color w:val="auto"/>
        </w:rPr>
        <w:t>. As of December 31, 2025, our equity method investments totaled US$2.4 billion. We periodically review our investments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Unrealized gains on transactions between the affiliated entity and us are eliminated to the extent of our interest in the affiliated entity; unrealized losses are also eliminated unless the transaction provides evidence of an impairment of the asset transferred. We are unable to control these factors and an impairment charge recognized by us will impact our operating results and financial position. As of December 31, 2025, our remaining investments were mainly equity security investments measured at fair market value and time deposits and financial products in commercial banks, and the impairment risks associated with these investments are not considered significant and particularly sensitive to management judgments.</w:t>
      </w:r>
    </w:p>
    <w:p>
      <w:pPr>
        <w:spacing w:after="0" w:line="329"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131" w:lineRule="exact"/>
        <w:rPr>
          <w:sz w:val="20"/>
          <w:szCs w:val="20"/>
          <w:color w:val="auto"/>
        </w:rPr>
      </w:pPr>
    </w:p>
    <w:p>
      <w:pPr>
        <w:jc w:val="both"/>
        <w:ind w:left="560" w:right="9400" w:hanging="444"/>
        <w:spacing w:after="0" w:line="412" w:lineRule="auto"/>
        <w:tabs>
          <w:tab w:leader="none" w:pos="5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Debt Securities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color w:val="auto"/>
        </w:rPr>
      </w:pPr>
    </w:p>
    <w:p>
      <w:pPr>
        <w:ind w:left="560" w:right="9000" w:hanging="444"/>
        <w:spacing w:after="0" w:line="450" w:lineRule="auto"/>
        <w:tabs>
          <w:tab w:leader="none" w:pos="55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Warrants and Rights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color w:val="auto"/>
        </w:rPr>
      </w:pPr>
    </w:p>
    <w:p>
      <w:pPr>
        <w:ind w:left="560" w:right="9320" w:hanging="444"/>
        <w:spacing w:after="0" w:line="412" w:lineRule="auto"/>
        <w:tabs>
          <w:tab w:leader="none" w:pos="5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Securities </w:t>
      </w: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American Depositary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by our ADS holders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Bank of New York Mellon, the depositary of our ADS program,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deducting from cash distributions or by directly billing investors or by charging the book-entry system accounts of participants acting for them. The depositary may generally refuse to provide fee-attracting services until its fees for those services are paid.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82"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4"/>
          <w:szCs w:val="14"/>
          <w:b w:val="1"/>
          <w:bCs w:val="1"/>
          <w:u w:val="single" w:color="auto"/>
          <w:color w:val="auto"/>
        </w:rPr>
        <w:t>Persons depositing or withdrawing shares must pay:</w:t>
      </w:r>
      <w:r>
        <w:rPr>
          <w:sz w:val="20"/>
          <w:szCs w:val="20"/>
          <w:color w:val="auto"/>
        </w:rPr>
        <w:tab/>
      </w:r>
      <w:r>
        <w:rPr>
          <w:rFonts w:ascii="Times New Roman" w:cs="Times New Roman" w:eastAsia="Times New Roman" w:hAnsi="Times New Roman"/>
          <w:sz w:val="13"/>
          <w:szCs w:val="13"/>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33515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$5.00 (or less) per 100 ADSs (or portion of 100 ADSs)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267" w:right="140" w:hanging="267"/>
        <w:spacing w:after="0" w:line="274" w:lineRule="auto"/>
        <w:tabs>
          <w:tab w:leader="none" w:pos="2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w:t>
      </w:r>
    </w:p>
    <w:p>
      <w:pPr>
        <w:spacing w:after="0" w:line="61" w:lineRule="exact"/>
        <w:rPr>
          <w:sz w:val="20"/>
          <w:szCs w:val="20"/>
          <w:color w:val="auto"/>
        </w:rPr>
      </w:pPr>
    </w:p>
    <w:p>
      <w:pPr>
        <w:sectPr>
          <w:pgSz w:w="11900" w:h="16838" w:orient="portrait"/>
          <w:cols w:equalWidth="0" w:num="2">
            <w:col w:w="5133" w:space="720"/>
            <w:col w:w="5267"/>
          </w:cols>
          <w:pgMar w:left="320" w:top="482" w:right="459" w:bottom="1440" w:gutter="0" w:footer="0" w:header="0"/>
          <w:type w:val="continuous"/>
        </w:sectPr>
      </w:pPr>
    </w:p>
    <w:p>
      <w:pPr>
        <w:ind w:left="6120" w:right="40" w:hanging="267"/>
        <w:spacing w:after="0" w:line="282" w:lineRule="auto"/>
        <w:tabs>
          <w:tab w:leader="none" w:pos="61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ectPr>
          <w:pgSz w:w="11900" w:h="16838" w:orient="portrait"/>
          <w:cols w:equalWidth="0" w:num="1">
            <w:col w:w="11120"/>
          </w:cols>
          <w:pgMar w:left="320" w:top="482" w:right="459" w:bottom="1440" w:gutter="0" w:footer="0" w:header="0"/>
          <w:type w:val="continuous"/>
        </w:sectPr>
      </w:pP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$0.02 (or less) per ADSs</w:t>
      </w:r>
    </w:p>
    <w:p>
      <w:pPr>
        <w:spacing w:after="0" w:line="117"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A fee equivalent to the fee that would be payable if securities distributed to you had been shares and the shares had been deposited for issuance of ADSs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267" w:hanging="267"/>
        <w:spacing w:after="0"/>
        <w:tabs>
          <w:tab w:leader="none" w:pos="2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distribution to ADS registered holders</w:t>
      </w:r>
    </w:p>
    <w:p>
      <w:pPr>
        <w:spacing w:after="0" w:line="117" w:lineRule="exact"/>
        <w:rPr>
          <w:rFonts w:ascii="Times New Roman" w:cs="Times New Roman" w:eastAsia="Times New Roman" w:hAnsi="Times New Roman"/>
          <w:sz w:val="18"/>
          <w:szCs w:val="18"/>
          <w:color w:val="auto"/>
        </w:rPr>
      </w:pPr>
    </w:p>
    <w:p>
      <w:pPr>
        <w:ind w:left="267" w:right="120" w:hanging="267"/>
        <w:spacing w:after="0" w:line="266" w:lineRule="auto"/>
        <w:tabs>
          <w:tab w:leader="none" w:pos="2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distributed to holders of deposited securities which are distributed by the depositary to ADS registered holders</w:t>
      </w:r>
    </w:p>
    <w:p>
      <w:pPr>
        <w:spacing w:after="0" w:line="68" w:lineRule="exact"/>
        <w:rPr>
          <w:sz w:val="20"/>
          <w:szCs w:val="20"/>
          <w:color w:val="auto"/>
        </w:rPr>
      </w:pPr>
    </w:p>
    <w:p>
      <w:pPr>
        <w:sectPr>
          <w:pgSz w:w="11900" w:h="16838" w:orient="portrait"/>
          <w:cols w:equalWidth="0" w:num="2">
            <w:col w:w="5640" w:space="213"/>
            <w:col w:w="5267"/>
          </w:cols>
          <w:pgMar w:left="320" w:top="482" w:right="459" w:bottom="1440" w:gutter="0" w:footer="0" w:header="0"/>
          <w:type w:val="continuous"/>
        </w:sectPr>
      </w:pPr>
    </w:p>
    <w:p>
      <w:pPr>
        <w:ind w:left="120"/>
        <w:spacing w:after="0"/>
        <w:tabs>
          <w:tab w:leader="none" w:pos="5840" w:val="left"/>
          <w:tab w:leader="none" w:pos="6100" w:val="left"/>
        </w:tabs>
        <w:rPr>
          <w:sz w:val="20"/>
          <w:szCs w:val="20"/>
          <w:color w:val="auto"/>
        </w:rPr>
      </w:pPr>
      <w:r>
        <w:rPr>
          <w:rFonts w:ascii="Times New Roman" w:cs="Times New Roman" w:eastAsia="Times New Roman" w:hAnsi="Times New Roman"/>
          <w:sz w:val="18"/>
          <w:szCs w:val="18"/>
          <w:color w:val="auto"/>
        </w:rPr>
        <w:t>$0.02 (or less) per ADSs per calendar year</w:t>
      </w:r>
      <w:r>
        <w:rPr>
          <w:sz w:val="20"/>
          <w:szCs w:val="20"/>
          <w:color w:val="auto"/>
        </w:rPr>
        <w:tab/>
      </w:r>
      <w:r>
        <w:rPr>
          <w:rFonts w:ascii="Times New Roman" w:cs="Times New Roman" w:eastAsia="Times New Roman" w:hAnsi="Times New Roman"/>
          <w:sz w:val="18"/>
          <w:szCs w:val="18"/>
          <w:color w:val="auto"/>
        </w:rPr>
        <w:t>•</w:t>
        <w:tab/>
        <w:t>Depositary services</w:t>
      </w:r>
    </w:p>
    <w:p>
      <w:pPr>
        <w:spacing w:after="0" w:line="117" w:lineRule="exact"/>
        <w:rPr>
          <w:sz w:val="20"/>
          <w:szCs w:val="20"/>
          <w:color w:val="auto"/>
        </w:rPr>
      </w:pPr>
    </w:p>
    <w:p>
      <w:pPr>
        <w:ind w:left="120"/>
        <w:spacing w:after="0"/>
        <w:tabs>
          <w:tab w:leader="none" w:pos="5840" w:val="left"/>
          <w:tab w:leader="none" w:pos="6100" w:val="left"/>
        </w:tabs>
        <w:rPr>
          <w:sz w:val="20"/>
          <w:szCs w:val="20"/>
          <w:color w:val="auto"/>
        </w:rPr>
      </w:pPr>
      <w:r>
        <w:rPr>
          <w:rFonts w:ascii="Times New Roman" w:cs="Times New Roman" w:eastAsia="Times New Roman" w:hAnsi="Times New Roman"/>
          <w:sz w:val="18"/>
          <w:szCs w:val="18"/>
          <w:color w:val="auto"/>
        </w:rPr>
        <w:t>Registration or transfer fees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Transfer and registration of shares on our share register to or from</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the name of the depositary or its agent when you deposit or withdraw</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shares</w:t>
      </w:r>
    </w:p>
    <w:p>
      <w:pPr>
        <w:spacing w:after="0" w:line="99" w:lineRule="exact"/>
        <w:rPr>
          <w:sz w:val="20"/>
          <w:szCs w:val="20"/>
          <w:color w:val="auto"/>
        </w:rPr>
      </w:pPr>
    </w:p>
    <w:p>
      <w:pPr>
        <w:ind w:left="120"/>
        <w:spacing w:after="0"/>
        <w:tabs>
          <w:tab w:leader="none" w:pos="5840" w:val="left"/>
          <w:tab w:leader="none" w:pos="6100" w:val="left"/>
        </w:tabs>
        <w:rPr>
          <w:sz w:val="20"/>
          <w:szCs w:val="20"/>
          <w:color w:val="auto"/>
        </w:rPr>
      </w:pPr>
      <w:r>
        <w:rPr>
          <w:rFonts w:ascii="Times New Roman" w:cs="Times New Roman" w:eastAsia="Times New Roman" w:hAnsi="Times New Roman"/>
          <w:sz w:val="18"/>
          <w:szCs w:val="18"/>
          <w:color w:val="auto"/>
        </w:rPr>
        <w:t>Expenses of the depositary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Cable, telex and facsimile transmissions (when expressly provided in</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the deposit agreement)</w:t>
      </w:r>
    </w:p>
    <w:p>
      <w:pPr>
        <w:sectPr>
          <w:pgSz w:w="11900" w:h="16838" w:orient="portrait"/>
          <w:cols w:equalWidth="0" w:num="1">
            <w:col w:w="11120"/>
          </w:cols>
          <w:pgMar w:left="320" w:top="482" w:right="45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 pay on any ADS or share underlying an ADS, for example, stock transfer taxes, stamp duty or withholding taxes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267" w:hanging="267"/>
        <w:spacing w:after="0"/>
        <w:tabs>
          <w:tab w:leader="none" w:pos="26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foreign currency to U.S. dollars</w:t>
      </w:r>
    </w:p>
    <w:p>
      <w:pPr>
        <w:spacing w:after="0" w:line="117" w:lineRule="exact"/>
        <w:rPr>
          <w:rFonts w:ascii="Times New Roman" w:cs="Times New Roman" w:eastAsia="Times New Roman" w:hAnsi="Times New Roman"/>
          <w:sz w:val="18"/>
          <w:szCs w:val="18"/>
          <w:color w:val="auto"/>
        </w:rPr>
      </w:pPr>
    </w:p>
    <w:p>
      <w:pPr>
        <w:ind w:left="267" w:hanging="267"/>
        <w:spacing w:after="0"/>
        <w:tabs>
          <w:tab w:leader="none" w:pos="26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w:t>
      </w:r>
    </w:p>
    <w:p>
      <w:pPr>
        <w:spacing w:after="0" w:line="549" w:lineRule="exact"/>
        <w:rPr>
          <w:sz w:val="20"/>
          <w:szCs w:val="20"/>
          <w:color w:val="auto"/>
        </w:rPr>
      </w:pPr>
    </w:p>
    <w:p>
      <w:pPr>
        <w:sectPr>
          <w:pgSz w:w="11900" w:h="16838" w:orient="portrait"/>
          <w:cols w:equalWidth="0" w:num="2">
            <w:col w:w="5600" w:space="253"/>
            <w:col w:w="5267"/>
          </w:cols>
          <w:pgMar w:left="320" w:top="482" w:right="459" w:bottom="1440" w:gutter="0" w:footer="0" w:header="0"/>
          <w:type w:val="continuous"/>
        </w:sectPr>
      </w:pPr>
    </w:p>
    <w:p>
      <w:pPr>
        <w:ind w:left="120"/>
        <w:spacing w:after="0"/>
        <w:tabs>
          <w:tab w:leader="none" w:pos="5840" w:val="left"/>
          <w:tab w:leader="none" w:pos="6100" w:val="left"/>
        </w:tabs>
        <w:rPr>
          <w:sz w:val="20"/>
          <w:szCs w:val="20"/>
          <w:color w:val="auto"/>
        </w:rPr>
      </w:pPr>
      <w:r>
        <w:rPr>
          <w:rFonts w:ascii="Times New Roman" w:cs="Times New Roman" w:eastAsia="Times New Roman" w:hAnsi="Times New Roman"/>
          <w:sz w:val="18"/>
          <w:szCs w:val="18"/>
          <w:color w:val="auto"/>
        </w:rPr>
        <w:t>Any charges incurred by the depositary or its agents for servicing the</w:t>
      </w:r>
      <w:r>
        <w:rPr>
          <w:sz w:val="20"/>
          <w:szCs w:val="20"/>
          <w:color w:val="auto"/>
        </w:rPr>
        <w:tab/>
      </w:r>
      <w:r>
        <w:rPr>
          <w:rFonts w:ascii="Times New Roman" w:cs="Times New Roman" w:eastAsia="Times New Roman" w:hAnsi="Times New Roman"/>
          <w:sz w:val="18"/>
          <w:szCs w:val="18"/>
          <w:color w:val="auto"/>
        </w:rPr>
        <w:t>•</w:t>
        <w:tab/>
        <w:t>As necessary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deposited securities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Payments from the Depositary to Us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expect to receive from the depositary a reimbursement of approximately US$6 million, net of withholding tax, for our continuing annual stock exchange listing fees and our expenses incurred in connection with investor relationship programs for 2025. In addition, the depositary has agreed to reimburse us annually for our expenses incurred in connection with investor relationship programs in the future. The amount of such reimbursements is subject to certain limits.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Dealings and Settlement of Shares in Hong Kong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ordinary shares now trade on the Hong Kong Stock Exchange in board lots of 50 ordinary shares. Dealings in our ordinary shares on the Hong Kong Stock Exchange will be conducted in Hong Kong dollars.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transaction costs of dealings in our shares on the Hong Kong Stock Exchange include:</w:t>
      </w:r>
    </w:p>
    <w:p>
      <w:pPr>
        <w:spacing w:after="0" w:line="131" w:lineRule="exact"/>
        <w:rPr>
          <w:sz w:val="20"/>
          <w:szCs w:val="20"/>
          <w:color w:val="auto"/>
        </w:rPr>
      </w:pPr>
    </w:p>
    <w:p>
      <w:pPr>
        <w:jc w:val="center"/>
        <w:ind w:left="5480" w:right="500" w:hanging="4824"/>
        <w:spacing w:after="0" w:line="454" w:lineRule="auto"/>
        <w:tabs>
          <w:tab w:leader="none" w:pos="107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0.00565% of the consideration of the transaction, charged to each of the buyer and seller; 132</w:t>
      </w:r>
    </w:p>
    <w:p>
      <w:pPr>
        <w:sectPr>
          <w:pgSz w:w="11900" w:h="16838" w:orient="portrait"/>
          <w:cols w:equalWidth="0" w:num="1">
            <w:col w:w="11120"/>
          </w:cols>
          <w:pgMar w:left="320" w:top="482" w:right="45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Futures Commission of Hong Kong transaction levy of 0.0027% of the consideration of the transaction, charged to each of the buyer and seller;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Financial Reporting Council of Hong Kong transaction levy of 0.00015% of the consideration of the transaction, charged to each of the buyer and seller;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valorem stamp duty at a total rate of 0.2% of the value of the transaction, with 0.1% payable by each of the buyer and the seller;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which is currently 0.0042% of the gross transaction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Share Registrar, Computershare Hong Kong Investor Services Limited, will charge HK$2.50 per share certificate canceled/issued (whichever is higher) for each regular transfer service of ordinary shares from one registered owner to another, and any applicable fee as stated in the share transfer forms used in Hong Kong.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Investors must settle their trades executed on the Hong Kong Stock Exchange through their brokers directly or through custodians. For an investor who has deposited their ordinary shares in their stock account or in their designated Hong Kong Securities Clearing Company Limited (HKSCC) participant’s stock account maintained with the HKSCC, settlement will be effected in the Central Clearing and Settlement System (CCASS) established and operated by the HKSCC in accordance with the General Rules of the HKSCC and the HKSCC Operational Procedures in effect from time to time. For an investor who holds the physical certificates, settlement certificates and the duly executed transfer forms must be delivered to their broker or custodian before the settlement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Exchanges Between Shares Trading in Hong Kong and ADSs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listing of our ordinary shares on the Hong Kong Stock Exchange, we have established a branch register of members in Hong Kong, which we refer to as the Hong Kong Share Register, which is maintained by our Hong Kong Share Registrar, Computershare Hong Kong Investor Services Limited. Our principal register of members, which we refer to as the Cayman share register, continues to be maintained by our principal share registrar, Maples Fund Services (Cayman) Limited.</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ordinary shares offered in our global offering in April 2021 are registered on the Hong Kong Share Register in order to be listed and traded on the Hong Kong Stock Exchange. As described in further detail below, holders of ordinary shares registered on the Hong Kong Share Register are able to exchange these shares into ADSs, and vice versa.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ADSs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ADSs representing our ordinary shares are traded on Nasdaq. Dealings in ADSs on Nasdaq are conducted in U.S. dollars.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ADSs may be held either:</w:t>
      </w:r>
    </w:p>
    <w:p>
      <w:pPr>
        <w:spacing w:after="0" w:line="131" w:lineRule="exact"/>
        <w:rPr>
          <w:sz w:val="20"/>
          <w:szCs w:val="20"/>
          <w:color w:val="auto"/>
        </w:rPr>
      </w:pPr>
    </w:p>
    <w:p>
      <w:pPr>
        <w:ind w:left="1080" w:right="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(i) by having an American Depositary Receipt, or ADR, which is a certificate evidencing a specific number of ADSs registered in the holder’s name; or (ii) by having uncertified ADSs registered in the holder’s name;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by holding a security entitlement in ADSs through a broker or other financial institution that is a direct or indirect participant in The Depository Trust Company, also called DTC.</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depositary for the ADSs is The Bank of New York Mellon, whose principal executive office is located at 240 Greenwich Street, New York, New York 10286, United States.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82"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Depositing ordinary shares trading in Hong Kong for delivery of ADSs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An investor who holds ordinary shares registered in Hong Kong and who intends to exchange them for ADSs to trade on Nasdaq must deposit or have his or her broker deposit the ordinary shares with the depositary’s Hong Kong custodian, The Hong Kong and Shanghai Banking Corporation Limited, Hong Kong, in exchange for ADSs.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deposit of ordinary shares in exchange for ADSs involves the following procedures:</w:t>
      </w:r>
    </w:p>
    <w:p>
      <w:pPr>
        <w:spacing w:after="0" w:line="131" w:lineRule="exact"/>
        <w:rPr>
          <w:sz w:val="20"/>
          <w:szCs w:val="20"/>
          <w:color w:val="auto"/>
        </w:rPr>
      </w:pPr>
    </w:p>
    <w:p>
      <w:pPr>
        <w:ind w:left="1080" w:right="50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have been deposited with CCASS, the investor must transfer ordinary shares to the depositary’s account with the custodian within CCASS by following the CCASS procedures for transfer and submit and deliver a duly completed and signed ADS delivery form to the custodian via his or her broker.</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are held outside CCASS, the investor must arrange for the deposit of his or her ordinary shares into CCASS and then proceed as described above.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duties or stock transfer taxes or fees, if applicable, the depositary will register the corresponding number of ADSs in the name(s) requested by an investor and will deliver the ADSs as instructed in the ADS delivery form.</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ordinary shares deposited in CCASS, under normal circumstances, the above steps generally require two business days, provided that the investor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Surrender of ADSs for delivery of ordinary shares trading in Hong Kong</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investor who holds ADSs and wishes to receive ordinary shares that trade on the Hong Kong Stock Exchange must surrender the ADSs the investor holds and withdraw ordinary shares from the ADS program and cause his or her broker or other financial institution to trade such ordinary shares on the Hong Kong Stock Exchange.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 investor that holds ADSs indirectly through a broker or other financial institution should follow the procedure of the broker or financial institution and instruct the broker to arrange for surrender of the ADSs, and transfer of the underlying ordinary shares from the depositary’s account with the custodian within the CCASS system to the investor’s Hong Kong stock account.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131" w:lineRule="exact"/>
        <w:rPr>
          <w:sz w:val="20"/>
          <w:szCs w:val="20"/>
          <w:color w:val="auto"/>
        </w:rPr>
      </w:pPr>
    </w:p>
    <w:p>
      <w:pPr>
        <w:ind w:left="1080" w:right="220" w:hanging="424"/>
        <w:spacing w:after="0" w:line="312" w:lineRule="auto"/>
        <w:tabs>
          <w:tab w:leader="none" w:pos="10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withdraw ordinary shares from the ADS program, an investor who holds ADSs may turn in such ADSs at the office of the depositary (and the applicable ADR(s) if the ADSs are held in certificated form), and send an instruction to cancel such ADSs to the depositary.</w:t>
      </w:r>
    </w:p>
    <w:p>
      <w:pPr>
        <w:spacing w:after="0" w:line="45" w:lineRule="exact"/>
        <w:rPr>
          <w:rFonts w:ascii="Times New Roman" w:cs="Times New Roman" w:eastAsia="Times New Roman" w:hAnsi="Times New Roman"/>
          <w:sz w:val="17"/>
          <w:szCs w:val="17"/>
          <w:color w:val="auto"/>
        </w:rPr>
      </w:pPr>
    </w:p>
    <w:p>
      <w:pPr>
        <w:ind w:left="1080" w:right="500" w:hanging="424"/>
        <w:spacing w:after="0" w:line="26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or net of its fees and expenses and of any taxes or charges, such as stamp duties or stock transfer taxes or fees, if applicable, the depositary will instruct the custodian to deliver ordinary shares underlying the canceled ADSs to the CCASS account designated by an investor.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shares outside CCASS, he or she must so indicate in the instruction delivered to the depositary.</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 ordinary shares to be received in CCASS, under normal circumstances, the above steps generally require two business days, provided that the investor has provided timely and complete instructions. For ordinary shares to be received outside CCASS in physical form, the above steps may take 14 business days, or more, to complete. The investor will be unable to trade the ordinary shares on the Hong Kong Stock Exchange until the procedures are completed.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82"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Depositary requirements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Before the depositary delivers ADSs or permits withdrawal of ordinary shares, the depositary may require:</w:t>
      </w:r>
    </w:p>
    <w:p>
      <w:pPr>
        <w:spacing w:after="0" w:line="131"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completion and presentation of transfer documents.</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costs attributable to the transfer of ordinary shares to effect a withdrawal from or deposit of ordinary shares into the ADS program will be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borne by the investor requesting the transfer or deposit. In particular, holders of ordinary shares and ADSs should note that the Hong Kong Share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Registrar will charge HK$2.50 for each transfer of ordinary shares from one registered owner to another, each share certificate canceled or issued by 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any applicable fee as stated in the share transfer forms used in Hong Kong. In addition, holders of ordinary shares and ADSs must pay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US$5.00 per 100 ADSs (or portion thereof) for each issuance of ADSs and each cancelation of ADSs, as the case may be, in connection with the deposit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ordinary shares into, or withdrawal of ordinary shares from, the ADS facility.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82"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PART II.</w:t>
      </w:r>
    </w:p>
    <w:p>
      <w:pPr>
        <w:sectPr>
          <w:pgSz w:w="11900" w:h="16838" w:orient="portrait"/>
          <w:cols w:equalWidth="0" w:num="1">
            <w:col w:w="11140"/>
          </w:cols>
          <w:pgMar w:left="320" w:top="482" w:right="439" w:bottom="1440" w:gutter="0" w:footer="0" w:header="0"/>
        </w:sect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DIVIDEND ARREARAGES AND DELINQUENCIES</w:t>
      </w:r>
    </w:p>
    <w:p>
      <w:pPr>
        <w:spacing w:after="0" w:line="133" w:lineRule="exact"/>
        <w:rPr>
          <w:sz w:val="20"/>
          <w:szCs w:val="20"/>
          <w:color w:val="auto"/>
        </w:rPr>
      </w:pPr>
    </w:p>
    <w:p>
      <w:pPr>
        <w:sectPr>
          <w:pgSz w:w="11900" w:h="16838" w:orient="portrait"/>
          <w:cols w:equalWidth="0" w:num="2">
            <w:col w:w="860" w:space="340"/>
            <w:col w:w="9940"/>
          </w:cols>
          <w:pgMar w:left="320" w:top="482" w:right="4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40"/>
          </w:cols>
          <w:pgMar w:left="320" w:top="482" w:right="439" w:bottom="1440" w:gutter="0" w:footer="0" w:header="0"/>
          <w:type w:val="continuous"/>
        </w:sect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33" w:lineRule="exact"/>
        <w:rPr>
          <w:sz w:val="20"/>
          <w:szCs w:val="20"/>
          <w:color w:val="auto"/>
        </w:rPr>
      </w:pPr>
    </w:p>
    <w:p>
      <w:pPr>
        <w:sectPr>
          <w:pgSz w:w="11900" w:h="16838" w:orient="portrait"/>
          <w:cols w:equalWidth="0" w:num="2">
            <w:col w:w="860" w:space="340"/>
            <w:col w:w="9940"/>
          </w:cols>
          <w:pgMar w:left="320" w:top="482" w:right="4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40"/>
          </w:cols>
          <w:pgMar w:left="320" w:top="482" w:right="439" w:bottom="1440" w:gutter="0" w:footer="0" w:header="0"/>
          <w:type w:val="continuous"/>
        </w:sectPr>
      </w:pP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including our chief executive officer, Jane Jie Sun, and our chief financial officer, Cindy Xiaofan Wang, has performed an assessment of the effectiveness of our disclosure controls and procedures, as that term is defined in Rules 13a-15(e) of the Exchange Act, as of the end of the period covered by this annual report. Based on that assessment, our management has concluded that our disclosure controls and procedures were effective as of December 31,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U.S.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company’s internal control over financial reporting as of December 31, 2025 based on the framework in Internal Control—Integrated Framework (2013) issued by the Committee of Sponsoring Organizations of the Treadway Commission. Based on this assessment, our management concluded that our internal control over financial reporting was effective as of December 31,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PricewaterhouseCoopers Zhong Tian LLP, our independent registered public accounting firm, audited the effectiveness of our company’s internal control over financial reporting as of December 31, 2025, as stated in their report that appears on page F-2 of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required by Rule 13a-15(d), under the Exchange Act, our management, including our chief executive officer and our chief financial officer, also conducted an assessment of our internal control over financial reporting to determine whether any changes that occurred during the period covered by this report have materially affected, or are reasonably likely to materially affect, our internal control over financial reporting. Based on that assessment, it has been determined that there has been no such change during the period covered by this annual report.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40"/>
          </w:cols>
          <w:pgMar w:left="320" w:top="482" w:right="4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37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16B.</w:t>
        <w:tab/>
        <w:t>CODE OF ETHICS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ethics that applies to our directors, officers, employees, and agents, including certain provisions that specifically apply to our chief executive officer, chief financial officer, financial controller, vice presidents and any other persons who perform similar functions for us, as amended and restated from time to time. We have filed our currently effective code of business conduct and ethics as an exhibit to our annual report on Form 20-F, and posted the code on our investor relations website at </w:t>
      </w:r>
      <w:r>
        <w:rPr>
          <w:rFonts w:ascii="Times New Roman" w:cs="Times New Roman" w:eastAsia="Times New Roman" w:hAnsi="Times New Roman"/>
          <w:sz w:val="18"/>
          <w:szCs w:val="18"/>
          <w:i w:val="1"/>
          <w:iCs w:val="1"/>
          <w:color w:val="auto"/>
        </w:rPr>
        <w:t>investors.trip.com</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16C.</w:t>
        <w:tab/>
        <w:t>PRINCIPAL ACCOUNTANT FEES AND SERVICES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PricewaterhouseCoopers Zhong Tian LLP and its affiliates, our principal accountant, for the periods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120" w:type="dxa"/>
            <w:vAlign w:val="bottom"/>
          </w:tcPr>
          <w:p>
            <w:pPr>
              <w:spacing w:after="0"/>
              <w:rPr>
                <w:sz w:val="15"/>
                <w:szCs w:val="15"/>
                <w:color w:val="auto"/>
              </w:rPr>
            </w:pPr>
          </w:p>
        </w:tc>
        <w:tc>
          <w:tcPr>
            <w:tcW w:w="290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81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8120" w:type="dxa"/>
            <w:vAlign w:val="bottom"/>
          </w:tcPr>
          <w:p>
            <w:pPr>
              <w:spacing w:after="0"/>
              <w:rPr>
                <w:sz w:val="12"/>
                <w:szCs w:val="12"/>
                <w:color w:val="auto"/>
              </w:rPr>
            </w:pPr>
          </w:p>
        </w:tc>
        <w:tc>
          <w:tcPr>
            <w:tcW w:w="860" w:type="dxa"/>
            <w:vAlign w:val="bottom"/>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8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r>
      <w:tr>
        <w:trPr>
          <w:trHeight w:val="209"/>
        </w:trPr>
        <w:tc>
          <w:tcPr>
            <w:tcW w:w="81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29,819,043</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28,169,805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4,028,229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 Related Fees</w:t>
            </w:r>
            <w:r>
              <w:rPr>
                <w:rFonts w:ascii="Times New Roman" w:cs="Times New Roman" w:eastAsia="Times New Roman" w:hAnsi="Times New Roman"/>
                <w:sz w:val="25"/>
                <w:szCs w:val="25"/>
                <w:color w:val="auto"/>
                <w:vertAlign w:val="superscript"/>
              </w:rPr>
              <w:t>(2)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2,420,442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1,793,481</w:t>
            </w: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256,464</w:t>
            </w:r>
          </w:p>
        </w:tc>
      </w:tr>
      <w:tr>
        <w:trPr>
          <w:trHeight w:val="216"/>
        </w:trPr>
        <w:tc>
          <w:tcPr>
            <w:tcW w:w="8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3,326,111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3,010,115</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430,441</w:t>
            </w:r>
          </w:p>
        </w:tc>
      </w:tr>
      <w:tr>
        <w:trPr>
          <w:trHeight w:val="355"/>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2,118,989</w:t>
            </w:r>
          </w:p>
        </w:tc>
        <w:tc>
          <w:tcPr>
            <w:tcW w:w="4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Notes:</w:t>
      </w:r>
    </w:p>
    <w:p>
      <w:pPr>
        <w:spacing w:after="0" w:line="109" w:lineRule="exact"/>
        <w:rPr>
          <w:sz w:val="20"/>
          <w:szCs w:val="20"/>
          <w:color w:val="auto"/>
        </w:rPr>
      </w:pPr>
    </w:p>
    <w:p>
      <w:pPr>
        <w:ind w:left="540" w:right="180" w:hanging="424"/>
        <w:spacing w:after="0" w:line="261"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represent the aggregate fees incurred for each of the fiscal years listed for professional services rendered by our principal accountant for the interim review of quarterly financial statements and the audit of our annual financial statements and other statutory audits of our subsidiaries.</w:t>
      </w:r>
    </w:p>
    <w:p>
      <w:pPr>
        <w:spacing w:after="0" w:line="68" w:lineRule="exact"/>
        <w:rPr>
          <w:rFonts w:ascii="Times New Roman" w:cs="Times New Roman" w:eastAsia="Times New Roman" w:hAnsi="Times New Roman"/>
          <w:sz w:val="14"/>
          <w:szCs w:val="14"/>
          <w:color w:val="auto"/>
        </w:rPr>
      </w:pPr>
    </w:p>
    <w:p>
      <w:pPr>
        <w:ind w:left="540" w:right="300" w:hanging="424"/>
        <w:spacing w:after="0" w:line="261"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Related Fees” represent the aggregate fees incurred in each of the fiscal years listed for assurance and related services that are provided by our principal accountant that are reasonably related to the performance of the audit or review of our financial statements and are not reported under “Audit Fees.”</w:t>
      </w:r>
    </w:p>
    <w:p>
      <w:pPr>
        <w:spacing w:after="0" w:line="68" w:lineRule="exact"/>
        <w:rPr>
          <w:rFonts w:ascii="Times New Roman" w:cs="Times New Roman" w:eastAsia="Times New Roman" w:hAnsi="Times New Roman"/>
          <w:sz w:val="14"/>
          <w:szCs w:val="14"/>
          <w:color w:val="auto"/>
        </w:rPr>
      </w:pPr>
    </w:p>
    <w:p>
      <w:pPr>
        <w:ind w:left="540" w:right="120" w:hanging="424"/>
        <w:spacing w:after="0" w:line="261"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represent the aggregate fees incurred in each of the fiscal years listed for professional services rendered by our principal accountant for tax compliance, tax advice and tax planning.</w:t>
      </w:r>
    </w:p>
    <w:p>
      <w:pPr>
        <w:spacing w:after="0" w:line="68"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represent the aggregate fees incurred in each of the fiscal years listed for services provided by our principal accountant, other than the services reported in (1), (2) and</w:t>
      </w:r>
    </w:p>
    <w:p>
      <w:pPr>
        <w:spacing w:after="0" w:line="3"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audit committee pre-approves all audit and permissible non-audit services provided by the principal accountant. These services may include audit services, audit-related services and tax services, as well as, to a very limited extent, specifically designated non-audit services which, in the opinion of the audit committee, will not impair the independence of the principal accountant. The principal accountant and our management are required to report to the audit committee on the quarterly basis regarding the extent of services provided by the principal accountant in accordance with this pre-approval.</w:t>
      </w:r>
    </w:p>
    <w:p>
      <w:pPr>
        <w:spacing w:after="0" w:line="328"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16D.</w:t>
        <w:tab/>
        <w:t>EXEMPTIONS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16E.</w:t>
        <w:tab/>
        <w:t>PURCHASE OF EQUITY SECURITIES BY THE ISSUER AND AFFILIATED PURCHASERS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March 2014, our board of directors adopted a share repurchase plan, pursuant to which we are authorized to purchase our own ADSs with an aggregate value of up to US$600 million, to be funded out of our existing cash balance.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82"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In November 2023, our board of directors adopted a regular capital return policy to benefit our shareholders and ADS holders in the form of discretionary annual share repurchases, discretionary annual cash dividend declarations, or a combination thereof, commencing from the year 2024. Under the policy, our board of directors reserves the discretion relating to the determination of the form, timing, and amount of the capital return measures in any particular year, depending on our financial condition, results of operations, cash flow, capital requirements, and other relevant factors.</w:t>
      </w:r>
    </w:p>
    <w:p>
      <w:pPr>
        <w:spacing w:after="0" w:line="16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February 2024, pursuant to the regular capital return policy, our board of directors approved and authorized us to implement strategic capital return initiatives, which include share repurchases, from time to time, for an aggregate value of up to US$300 million.</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February 2025, pursuant to the regular capital return policy, our board of directors approved and authorized us to implement additional strategic capital return initiatives, which include share repurchases, from time to time, for an aggregate value of up to US$400 million.</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August 2025, pursuant to the regular capital return policy, our board of directors approved and authorized a new share repurchase program under which we may repurchase up to an aggregate of US$5 billion of our outstanding ordinary shares and/or ADSs.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 as well as the repurchase mandate granted or to be granted to our board of directors pursuant to the resolutions of shareholders passed at our annual general meeting (to the extent applicable). The following table summarizes our repurchases of our equity securities in 2025.</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of ADSs/</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ADSs/Ordinary</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 that</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ADS/Ordinary</w:t>
            </w:r>
          </w:p>
        </w:tc>
        <w:tc>
          <w:tcPr>
            <w:tcW w:w="16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Paid Per ADS/</w:t>
            </w:r>
          </w:p>
        </w:tc>
        <w:tc>
          <w:tcPr>
            <w:tcW w:w="16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3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3"/>
        </w:trPr>
        <w:tc>
          <w:tcPr>
            <w:tcW w:w="4800" w:type="dxa"/>
            <w:vAlign w:val="bottom"/>
            <w:gridSpan w:val="2"/>
            <w:vMerge w:val="continue"/>
          </w:tcPr>
          <w:p>
            <w:pPr>
              <w:spacing w:after="0"/>
              <w:rPr>
                <w:sz w:val="15"/>
                <w:szCs w:val="15"/>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Ordinary Share</w:t>
            </w:r>
            <w:r>
              <w:rPr>
                <w:rFonts w:ascii="Times New Roman" w:cs="Times New Roman" w:eastAsia="Times New Roman" w:hAnsi="Times New Roman"/>
                <w:sz w:val="10"/>
                <w:szCs w:val="10"/>
                <w:b w:val="1"/>
                <w:bCs w:val="1"/>
                <w:color w:val="auto"/>
              </w:rPr>
              <w:t>(1)</w:t>
            </w:r>
          </w:p>
        </w:tc>
        <w:tc>
          <w:tcPr>
            <w:tcW w:w="16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09"/>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to January 31, 2025</w:t>
            </w:r>
          </w:p>
        </w:tc>
        <w:tc>
          <w:tcPr>
            <w:tcW w:w="4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5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281,779,386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to February 28, 2025</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681,779,386</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to March 31, 2025</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681,779,386</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to April 30, 2025</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1,573,282</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53.15</w:t>
            </w: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1,573,282</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598,164,539</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to May 31, 2025</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598,164,539</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to June 30, 2025</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5,390,320</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58.71</w:t>
            </w: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5,390,320</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281,675,004</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to July 31, 2025</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281,675,004</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to August 31, 2025</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5,281,675,004</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to September 30, 2025</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5,281,675,004</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to October 31, 2025</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5,281,675,004</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to November 30, 2025</w:t>
            </w:r>
          </w:p>
        </w:tc>
        <w:tc>
          <w:tcPr>
            <w:tcW w:w="1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1,843,012</w:t>
            </w:r>
          </w:p>
        </w:tc>
        <w:tc>
          <w:tcPr>
            <w:tcW w:w="1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69.89</w:t>
            </w:r>
          </w:p>
        </w:tc>
        <w:tc>
          <w:tcPr>
            <w:tcW w:w="16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1,843,012</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5,152,863,370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to December 31, 2025</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1,209,400</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69.94</w:t>
            </w: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1,209,400</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5,068,282,436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10,016,014</w:t>
            </w:r>
          </w:p>
        </w:tc>
        <w:tc>
          <w:tcPr>
            <w:tcW w:w="1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61.25</w:t>
            </w:r>
          </w:p>
        </w:tc>
        <w:tc>
          <w:tcPr>
            <w:tcW w:w="16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10,016,014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5,068,282,436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Notes:</w:t>
      </w:r>
    </w:p>
    <w:p>
      <w:pPr>
        <w:spacing w:after="0" w:line="109"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ADS represents one ordinary share.</w:t>
      </w:r>
    </w:p>
    <w:p>
      <w:pPr>
        <w:spacing w:after="0" w:line="3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16F.</w:t>
        <w:tab/>
        <w:t>CHANGE IN REGISTRANT’S CERTIFYING ACCOUNTANT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82"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16G.</w:t>
        <w:tab/>
        <w:t>CORPORATE GOVERNANCE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Cayman Islands company listed on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In lieu of the requirements of Rule 5635(c) of the Nasdaq Rules that shareholder approval be required prior to the issuance of securities when a stock option or purchase plan is to be established or materially amended or other equity compensation arrangement is made or materially amended, pursuant to which stock may be acquired by officers, directors, employees, or consultants, we intend to follow our home country practices with respect to the approval for adoption and material amendment to our equity-based compensation plans. Our Cayman Islands legal counsel has provided a letter to the Nasdaq Stock Market certifying that under Cayman Islands law, we are not required to follow or comply with the requirements of Rule 5635(c) of the Nasdaq Rules. Nasdaq has acknowledged the receipt of this letter.</w:t>
      </w:r>
    </w:p>
    <w:p>
      <w:pPr>
        <w:spacing w:after="0" w:line="188"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Other than the home country practices described above, we are not aware of any significant ways in which our corporate governance practices differ from those followed by U.S. domestic companies under the Nasdaq Rules.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16H.</w:t>
        <w:tab/>
        <w:t>MINE SAFETY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16I.</w:t>
        <w:tab/>
        <w:t>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8"/>
          <w:szCs w:val="18"/>
          <w:b w:val="1"/>
          <w:bCs w:val="1"/>
          <w:color w:val="auto"/>
        </w:rPr>
        <w:t>INSIDER TRADING POLICIES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management and employees to promote compliance with applicable insider trading laws, rules and regulations. These insider trading policies and procedures are filed as Exhibit 11.2 to this annual report on Form 20-F.</w:t>
      </w:r>
    </w:p>
    <w:p>
      <w:pPr>
        <w:spacing w:after="0" w:line="320"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8"/>
          <w:szCs w:val="18"/>
          <w:b w:val="1"/>
          <w:bCs w:val="1"/>
          <w:color w:val="auto"/>
        </w:rPr>
        <w:t>CYBERSECURITY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implemented robust processes for assessing, identifying, and managing material risks from cybersecurity threats and monitoring the prevention, detection, mitigation, and remediation of material cybersecurity incidents. We have also integrated cybersecurity risk management into our overall enterprise risk management system.</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established a dynamic and multi-layered cybersecurity defense system to effectively mitigate both internal and external cybersecurity threats. This comprehensive system spans multiple security domains, including network, host, and application layers. It integrates a range of security capabilities such as threat defense, continuous monitoring, in-depth analysis, and rapid response. Our approach to managing cybersecurity risks and safeguarding sensitive data is multi-faceted, involving technological safeguards, procedural protocols, a rigorous program of surveillance on our corporate network and the connections with any third-party service providers, ongoing evaluation of our security measures implemented towards internal and external resources, a solid incident response framework, and regular cybersecurity training sessions for our employees. Our cybersecurity department is actively engaged in continuous monitoring of our applications, platforms, and infrastructure to ensure prompt identification and response to potential issues, including emerging cybersecurity threats.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engaged third parties in connection with the processes for assessing, identifying, and managing material risks from cybersecurity threats.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example, we engaged third parties for penetration test services, on-site security maintenance service, and cloud-based security services.</w:t>
      </w:r>
    </w:p>
    <w:p>
      <w:pPr>
        <w:spacing w:after="0" w:line="20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overseeing our company’s cybersecurity risk management and be informed on risks from cybersecurity threats. Our board of directors will review, approve, and maintain oversight of the disclosure (i) on Form 6-K for material cybersecurity incidents (if any) and (ii) relating to cybersecurity matters in the periodic reports (including annual report on Form 20-F) of our company.</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the management level, we have established an information security committee comprised of senior principals of our information security department, technology department, and legal department, who collectively have diverse and extensive experience in their respective fields. The information security committee monitors potential cybersecurity risks, develops risk prevention and mitigation measures, ensures the due implementation of all risk prevention and mitigation measures across our company, and introduces new technologies and innovative solutions for defending our company against cybersecurity threats. The information security committee reports to our executive officers and holds as many meetings with our chief executive officer and our chief financial officer as it deems appropriate.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also have a cybersecurity disclosure committee established pursuant to the internal controls and procedures in connection with cybersecurity. The cybersecurity disclosure committee is comprised of a senior principal in charge of cybersecurity matters and other senior principals who are in charge of our disclosure controls and procedures. Our cybersecurity disclosure committee reports to our chief executive officer, chief financial officer, and board of directors from time to time regarding its assessment, identification, and management of material risks from cybersecurity threats that happened in the ordinary course of our business operations. If a cybersecurity incident occurs, our cybersecurity disclosure committee will promptly organize relevant personnel for internal assessment and, depending on the situation, seek opinions of external experts and legal advisors. If it is determined that the incident could potentially be a material cybersecurity incident, our cybersecurity disclosure committee will promptly report the investigation and assessment results to our board of directors, and our board of directors will decide on the relevant response measures and whether any disclosure is necessary. If such disclosure is determined to be necessary, our cybersecurity disclosure committee will promptly prepare disclosure material for review and approval by our board of directors before it is disseminated to the public.</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40"/>
          </w:cols>
          <w:pgMar w:left="320" w:top="482" w:right="5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consolidated financial statements for Trip.com Group Limited and its subsidiaries are included at the end of this annual report.</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20" w:type="dxa"/>
            <w:vAlign w:val="bottom"/>
          </w:tcPr>
          <w:p>
            <w:pPr>
              <w:spacing w:after="0"/>
              <w:rPr>
                <w:sz w:val="20"/>
                <w:szCs w:val="20"/>
                <w:color w:val="auto"/>
              </w:rPr>
            </w:pPr>
          </w:p>
        </w:tc>
        <w:tc>
          <w:tcPr>
            <w:tcW w:w="996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80" w:type="dxa"/>
            <w:vAlign w:val="bottom"/>
            <w:gridSpan w:val="1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78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0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auto"/>
            </w:tcBorders>
            <w:gridSpan w:val="23"/>
          </w:tcPr>
          <w:p>
            <w:pPr>
              <w:spacing w:after="0" w:line="163"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Fourth Amended and Restated Memorandum and Articles of Association of the Registrant adopted by the shareholders of the Registrant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on June 30, 2023 (incorporated by reference to Exhibit 3.1 to our Report of Foreign Private Issuer on Form 6-K furnished to the Securities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and Exchange Commission on June 30, 2023)</w:t>
              </w:r>
            </w:hyperlink>
          </w:p>
        </w:tc>
        <w:tc>
          <w:tcPr>
            <w:tcW w:w="66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17"/>
                <w:szCs w:val="17"/>
                <w:color w:val="auto"/>
              </w:rPr>
            </w:pPr>
          </w:p>
        </w:tc>
        <w:tc>
          <w:tcPr>
            <w:tcW w:w="98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Specimen American Depositary Receipt of the Registrant (incorporated by reference to Form 424b3 (File No. 333-233932) filed with the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Securities and Exchange Commission on March 18, 2021)</w:t>
              </w:r>
            </w:hyperlink>
          </w:p>
        </w:tc>
        <w:tc>
          <w:tcPr>
            <w:tcW w:w="5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17"/>
                <w:szCs w:val="17"/>
                <w:color w:val="auto"/>
              </w:rPr>
            </w:pPr>
          </w:p>
        </w:tc>
        <w:tc>
          <w:tcPr>
            <w:tcW w:w="92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Specimen Stock Certificate of the Registrant (incorporated by reference to Exhibit 2.2 to our Annual Report on Form 20-F (File</w:t>
              </w:r>
            </w:hyperlink>
          </w:p>
        </w:tc>
        <w:tc>
          <w:tcPr>
            <w:tcW w:w="7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4"/>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No. 001-33853) filed with the Securities and Exchange Commission on April 27,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17"/>
                <w:szCs w:val="17"/>
                <w:color w:val="auto"/>
              </w:rPr>
            </w:pPr>
          </w:p>
        </w:tc>
        <w:tc>
          <w:tcPr>
            <w:tcW w:w="98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Rights Agreement dated as of November 23, 2007 between the Registrant and The Bank of New York, as Rights Agent (incorporated by</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reference to Exhibit 4.1 to our Report of Foreign Private Issuer on Form 6-K furnished to the Securities and Exchange Commission on</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4"/>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November 23, 2007)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17"/>
                <w:szCs w:val="17"/>
                <w:color w:val="auto"/>
              </w:rPr>
            </w:pPr>
          </w:p>
        </w:tc>
        <w:tc>
          <w:tcPr>
            <w:tcW w:w="9980" w:type="dxa"/>
            <w:vAlign w:val="bottom"/>
            <w:gridSpan w:val="24"/>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First Amendment to the Rights Agreement dated as of August 7, 2014 between the Registrant and The Bank of New York, as Rights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4"/>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Agent (incorporated by reference to Exhibit 4.1 to our Report of Foreign Private Issuer on Form 8-A/A furnished to the Securities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Exchange Commission on August 8, 2014)</w:t>
              </w:r>
            </w:hyperlink>
          </w:p>
        </w:tc>
        <w:tc>
          <w:tcPr>
            <w:tcW w:w="6540" w:type="dxa"/>
            <w:vAlign w:val="bottom"/>
            <w:tcBorders>
              <w:top w:val="single" w:sz="8" w:color="0000EE"/>
            </w:tcBorders>
            <w:gridSpan w:val="11"/>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17"/>
                <w:szCs w:val="17"/>
                <w:color w:val="auto"/>
              </w:rPr>
            </w:pPr>
          </w:p>
        </w:tc>
        <w:tc>
          <w:tcPr>
            <w:tcW w:w="9980" w:type="dxa"/>
            <w:vAlign w:val="bottom"/>
            <w:gridSpan w:val="24"/>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Second Amendment to the Rights Agreement dated as of August 7, 2014 between the Registrant and The Bank of New York, as Rights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Agent (incorporated by reference to Exhibit 4.2 to our Report of Foreign Private Issuer on Form 8-A/A furnished to the Securities and</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Exchange Commission on August 8, 2014)</w:t>
              </w:r>
            </w:hyperlink>
          </w:p>
        </w:tc>
        <w:tc>
          <w:tcPr>
            <w:tcW w:w="6540" w:type="dxa"/>
            <w:vAlign w:val="bottom"/>
            <w:tcBorders>
              <w:top w:val="single" w:sz="8" w:color="0000EE"/>
            </w:tcBorders>
            <w:gridSpan w:val="11"/>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spacing w:after="0"/>
              <w:rPr>
                <w:sz w:val="17"/>
                <w:szCs w:val="17"/>
                <w:color w:val="auto"/>
              </w:rPr>
            </w:pPr>
          </w:p>
        </w:tc>
        <w:tc>
          <w:tcPr>
            <w:tcW w:w="95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Third Amendment to the Rights Agreement dated as of May 29, 2015 between the Registrant and The Bank of New York, as Rights</w:t>
              </w:r>
            </w:hyperlink>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4"/>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Agent (incorporated by reference to Exhibit 4.3 to our Report of Foreign Private Issuer on Form 8-A/A furnished to the Securities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Exchange Commission on June 4, 2015)</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spacing w:after="0"/>
              <w:rPr>
                <w:sz w:val="17"/>
                <w:szCs w:val="17"/>
                <w:color w:val="auto"/>
              </w:rPr>
            </w:pPr>
          </w:p>
        </w:tc>
        <w:tc>
          <w:tcPr>
            <w:tcW w:w="9980" w:type="dxa"/>
            <w:vAlign w:val="bottom"/>
            <w:gridSpan w:val="24"/>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Fourth Amendment to the Rights Agreement dated as of October 26, 2015 between the Registrant and The Bank of New York, as Rights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Agent (incorporated by reference to Exhibit 4.3 to our Report of Foreign Private Issuer on Form 8-A/A furnished to the Securities and</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Exchange Commission on October 27, 2015)</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540" w:type="dxa"/>
            <w:vAlign w:val="bottom"/>
          </w:tcPr>
          <w:p>
            <w:pPr>
              <w:spacing w:after="0"/>
              <w:rPr>
                <w:sz w:val="17"/>
                <w:szCs w:val="17"/>
                <w:color w:val="auto"/>
              </w:rPr>
            </w:pPr>
          </w:p>
        </w:tc>
        <w:tc>
          <w:tcPr>
            <w:tcW w:w="98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Fifth Amendment to the Rights Agreement dated as of December 23, 2015 between the Registrant and The Bank of New York, as Rights</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4"/>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Agent (incorporated by reference to Exhibit 4.3 to our Report of Foreign Private Issuer on Form 8-A/A furnished to the Securities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Exchange Commission on December 23, 2015)</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540" w:type="dxa"/>
            <w:vAlign w:val="bottom"/>
          </w:tcPr>
          <w:p>
            <w:pPr>
              <w:spacing w:after="0"/>
              <w:rPr>
                <w:sz w:val="17"/>
                <w:szCs w:val="17"/>
                <w:color w:val="auto"/>
              </w:rPr>
            </w:pPr>
          </w:p>
        </w:tc>
        <w:tc>
          <w:tcPr>
            <w:tcW w:w="9980" w:type="dxa"/>
            <w:vAlign w:val="bottom"/>
            <w:gridSpan w:val="24"/>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Sixth Amendment to the Rights Agreement dated as of August 30, 2019 between the Registrant and The Bank of New York, as Rights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Agent (incorporated by reference to Exhibit 4.1 to our Report of Foreign Private Issuer on Form 8-A/A furnished to the Securities and</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Exchange Commission on November 14, 2019)</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gridSpan w:val="8"/>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6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540" w:type="dxa"/>
            <w:vAlign w:val="bottom"/>
          </w:tcPr>
          <w:p>
            <w:pPr>
              <w:spacing w:after="0"/>
              <w:rPr>
                <w:sz w:val="17"/>
                <w:szCs w:val="17"/>
                <w:color w:val="auto"/>
              </w:rPr>
            </w:pPr>
          </w:p>
        </w:tc>
        <w:tc>
          <w:tcPr>
            <w:tcW w:w="9980" w:type="dxa"/>
            <w:vAlign w:val="bottom"/>
            <w:gridSpan w:val="24"/>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Seventh Amendment to the Rights Agreement dated as of November 13, 2019 between the Registrant and The Bank of New York, as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20" w:type="dxa"/>
            <w:vAlign w:val="bottom"/>
            <w:gridSpan w:val="9"/>
            <w:shd w:val="clear" w:color="auto" w:fill="0000EE"/>
          </w:tcPr>
          <w:p>
            <w:pPr>
              <w:spacing w:after="0" w:line="20" w:lineRule="exact"/>
              <w:rPr>
                <w:sz w:val="1"/>
                <w:szCs w:val="1"/>
                <w:color w:val="auto"/>
              </w:rPr>
            </w:pPr>
          </w:p>
        </w:tc>
        <w:tc>
          <w:tcPr>
            <w:tcW w:w="5860" w:type="dxa"/>
            <w:vAlign w:val="bottom"/>
            <w:gridSpan w:val="5"/>
            <w:shd w:val="clear" w:color="auto" w:fill="0000EE"/>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Rights Agent (incorporated by reference to Exhibit 4.2 to our Report of Foreign Private Issuer on Form 8-A/A furnished to the Securities</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4"/>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and Exchange Commission on November 14, 2019)</w:t>
              </w:r>
            </w:hyperlink>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top w:val="single" w:sz="8" w:color="0000EE"/>
            </w:tcBorders>
            <w:gridSpan w:val="8"/>
          </w:tcPr>
          <w:p>
            <w:pPr>
              <w:spacing w:after="0"/>
              <w:rPr>
                <w:sz w:val="24"/>
                <w:szCs w:val="24"/>
                <w:color w:val="auto"/>
              </w:rPr>
            </w:pPr>
          </w:p>
        </w:tc>
        <w:tc>
          <w:tcPr>
            <w:tcW w:w="2580" w:type="dxa"/>
            <w:vAlign w:val="bottom"/>
            <w:gridSpan w:val="2"/>
          </w:tcPr>
          <w:p>
            <w:pPr>
              <w:jc w:val="right"/>
              <w:ind w:right="1628"/>
              <w:spacing w:after="0"/>
              <w:rPr>
                <w:sz w:val="20"/>
                <w:szCs w:val="20"/>
                <w:color w:val="auto"/>
              </w:rPr>
            </w:pPr>
            <w:r>
              <w:rPr>
                <w:rFonts w:ascii="Times New Roman" w:cs="Times New Roman" w:eastAsia="Times New Roman" w:hAnsi="Times New Roman"/>
                <w:sz w:val="18"/>
                <w:szCs w:val="18"/>
                <w:color w:val="auto"/>
              </w:rPr>
              <w:t>141</w:t>
            </w:r>
          </w:p>
        </w:tc>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20" w:type="dxa"/>
            <w:vAlign w:val="bottom"/>
            <w:gridSpan w:val="29"/>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620" w:type="dxa"/>
            <w:vAlign w:val="bottom"/>
            <w:tcBorders>
              <w:bottom w:val="single" w:sz="8" w:color="auto"/>
            </w:tcBorders>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0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2.11</w:t>
            </w:r>
          </w:p>
        </w:tc>
        <w:tc>
          <w:tcPr>
            <w:tcW w:w="5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620" w:type="dxa"/>
            <w:vAlign w:val="bottom"/>
            <w:tcBorders>
              <w:bottom w:val="single" w:sz="8" w:color="0000EE"/>
            </w:tcBorders>
            <w:gridSpan w:val="23"/>
          </w:tcPr>
          <w:p>
            <w:pPr>
              <w:spacing w:after="0" w:line="163"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Eighth Amendment to the Rights Agreement dated July 26, 2024 between the Registrant and The Bank of New York, as Rights Agent</w:t>
              </w:r>
            </w:hyperlink>
          </w:p>
        </w:tc>
        <w:tc>
          <w:tcPr>
            <w:tcW w:w="3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(incorporated by reference to Exhibit 4.9 to our Report of Foreign Private Issuer on Form 8-A/A furnished to the Securities and Exchange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Commission on July 29, 2024)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540" w:type="dxa"/>
            <w:vAlign w:val="bottom"/>
          </w:tcPr>
          <w:p>
            <w:pPr>
              <w:spacing w:after="0"/>
              <w:rPr>
                <w:sz w:val="17"/>
                <w:szCs w:val="17"/>
                <w:color w:val="auto"/>
              </w:rPr>
            </w:pPr>
          </w:p>
        </w:tc>
        <w:tc>
          <w:tcPr>
            <w:tcW w:w="99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Deposit Agreement dated as of December 8, 2003, as amended and restated as of August 11, 2006, and as further amended and restated as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of December 3, 2007, among the Registrant, The Bank of New York as Depositary, and all Owners and Beneficial Owners from time to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time of American Depositary Shares issued thereunder (incorporated by reference to Exhibit 2.4 to our Annual Report on Form 20-F (File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No. 001-33853) filed with the Securities and Exchange Commission on April 29, 2008)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540" w:type="dxa"/>
            <w:vAlign w:val="bottom"/>
          </w:tcPr>
          <w:p>
            <w:pPr>
              <w:spacing w:after="0"/>
              <w:rPr>
                <w:sz w:val="17"/>
                <w:szCs w:val="17"/>
                <w:color w:val="auto"/>
              </w:rPr>
            </w:pPr>
          </w:p>
        </w:tc>
        <w:tc>
          <w:tcPr>
            <w:tcW w:w="98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Description of Securities (incorporated by reference to Exhibit 2.12 to our Annual Report on Form 20-F (File No. 001-33853) filed with</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the Securities and Exchange Commission on April 29, 2024)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17"/>
                <w:szCs w:val="17"/>
                <w:color w:val="auto"/>
              </w:rPr>
            </w:pPr>
          </w:p>
        </w:tc>
        <w:tc>
          <w:tcPr>
            <w:tcW w:w="97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Form of Indemnification Agreement with the Registrant’s directors and executive officers (incorporated by reference to Exhibit 10.2 to</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our Registration Statement on Form F-1 (File No. 333-110455) filed with the Securities and Exchange Commission on November 13,</w:t>
              </w:r>
            </w:hyperlink>
          </w:p>
        </w:tc>
        <w:tc>
          <w:tcPr>
            <w:tcW w:w="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960" w:type="dxa"/>
            <w:vAlign w:val="bottom"/>
            <w:gridSpan w:val="3"/>
          </w:tcPr>
          <w:p>
            <w:pPr>
              <w:ind w:left="540"/>
              <w:spacing w:after="0" w:line="196" w:lineRule="exact"/>
              <w:rPr>
                <w:rFonts w:ascii="Times New Roman" w:cs="Times New Roman" w:eastAsia="Times New Roman" w:hAnsi="Times New Roman"/>
                <w:sz w:val="18"/>
                <w:szCs w:val="18"/>
                <w:color w:val="0000EE"/>
                <w:w w:val="95"/>
              </w:rPr>
            </w:pPr>
            <w:hyperlink r:id="rId194">
              <w:r>
                <w:rPr>
                  <w:rFonts w:ascii="Times New Roman" w:cs="Times New Roman" w:eastAsia="Times New Roman" w:hAnsi="Times New Roman"/>
                  <w:sz w:val="18"/>
                  <w:szCs w:val="18"/>
                  <w:color w:val="0000EE"/>
                  <w:w w:val="95"/>
                </w:rPr>
                <w:t>2003)</w:t>
              </w:r>
            </w:hyperlink>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Form of Employment Agreement between the Registrant and its executive officers (incorporated by reference to Exhibit 4.2 to our Annual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Report on Form 20-F (File No. 001-33853) filed with the Securities and Exchange Commission on March 27, 2023)</w:t>
              </w:r>
            </w:hyperlink>
          </w:p>
        </w:tc>
        <w:tc>
          <w:tcPr>
            <w:tcW w:w="1600" w:type="dxa"/>
            <w:vAlign w:val="bottom"/>
            <w:tcBorders>
              <w:top w:val="single" w:sz="8" w:color="0000EE"/>
            </w:tcBorders>
            <w:gridSpan w:val="2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17"/>
                <w:szCs w:val="17"/>
                <w:color w:val="auto"/>
              </w:rPr>
            </w:pPr>
          </w:p>
        </w:tc>
        <w:tc>
          <w:tcPr>
            <w:tcW w:w="992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Translation of Executed Form of Technical Consulting and Services Agreement between a wholly-owned subsidiary of the Registrant and</w:t>
            </w: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a VIE, as currently in effect, and a schedule of all executed technical consulting and services agreements adopting the same form in</w:t>
            </w:r>
          </w:p>
        </w:tc>
        <w:tc>
          <w:tcPr>
            <w:tcW w:w="5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respect of a VIE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17"/>
                <w:szCs w:val="17"/>
                <w:color w:val="auto"/>
              </w:rPr>
            </w:pPr>
          </w:p>
        </w:tc>
        <w:tc>
          <w:tcPr>
            <w:tcW w:w="96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Translation of Executed Form of Loan Agreement between a wholly-owned subsidiary of the Registrant and shareholders of a VIE, as</w:t>
            </w:r>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currently in effect, and a schedule of all executed loan agreements adopting the same form in respect of a VIE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spacing w:after="0"/>
              <w:rPr>
                <w:sz w:val="17"/>
                <w:szCs w:val="17"/>
                <w:color w:val="auto"/>
              </w:rPr>
            </w:pPr>
          </w:p>
        </w:tc>
        <w:tc>
          <w:tcPr>
            <w:tcW w:w="95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Translation of Executed Form of Exclusive Call Option Agreement among a wholly-owned subsidiary of the Registrant, a VIE and a</w:t>
            </w:r>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shareholder of the VIE, as currently in effect, and a schedule of all executed exclusive call option agreements adopting the same form in</w:t>
            </w: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respect of a VIE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spacing w:after="0"/>
              <w:rPr>
                <w:sz w:val="17"/>
                <w:szCs w:val="17"/>
                <w:color w:val="auto"/>
              </w:rPr>
            </w:pPr>
          </w:p>
        </w:tc>
        <w:tc>
          <w:tcPr>
            <w:tcW w:w="97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Translation of Executed Form of Equity Pledge Agreement between a wholly-owned subsidiary of the Registrant and a shareholder of a</w:t>
            </w: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VIE, as currently in effect, and a schedule of all executed equity pledge agreements adopting the same form in respect of a VIE</w:t>
            </w:r>
          </w:p>
        </w:tc>
        <w:tc>
          <w:tcPr>
            <w:tcW w:w="8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540" w:type="dxa"/>
            <w:vAlign w:val="bottom"/>
          </w:tcPr>
          <w:p>
            <w:pPr>
              <w:spacing w:after="0"/>
              <w:rPr>
                <w:sz w:val="17"/>
                <w:szCs w:val="17"/>
                <w:color w:val="auto"/>
              </w:rPr>
            </w:pPr>
          </w:p>
        </w:tc>
        <w:tc>
          <w:tcPr>
            <w:tcW w:w="99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Translation of Executed Form of Power of Attorney by a shareholder of a VIE, as currently in effect, and a schedule of all executed power</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of attorney adopting the same form in respect of a VIE</w:t>
            </w:r>
          </w:p>
        </w:tc>
        <w:tc>
          <w:tcPr>
            <w:tcW w:w="6000" w:type="dxa"/>
            <w:vAlign w:val="bottom"/>
            <w:tcBorders>
              <w:top w:val="single" w:sz="8" w:color="0000EE"/>
            </w:tcBorders>
            <w:gridSpan w:val="2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Form of Director Agreement between the Registrant and its director (incorporated by reference to Exhibit 4.20 to our Annual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Form 20-F (File No. 001-33853) filed with the Securities and Exchange Commission on May 11, 2004)</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4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Translation of State Land Use Right Assignment Contract dated February 25, 2008 between Nantong Land Resource Bureau and Ctrip</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Information Technology (Nantong) Co., Ltd. (incorporated by reference to Exhibit 4.21 to our Annual Report on Form 20-F (File</w:t>
              </w:r>
            </w:hyperlink>
          </w:p>
        </w:tc>
        <w:tc>
          <w:tcPr>
            <w:tcW w:w="380" w:type="dxa"/>
            <w:vAlign w:val="bottom"/>
            <w:tcBorders>
              <w:top w:val="single" w:sz="8" w:color="0000EE"/>
            </w:tcBorders>
            <w:gridSpan w:val="9"/>
          </w:tcPr>
          <w:p>
            <w:pPr>
              <w:spacing w:after="0"/>
              <w:rPr>
                <w:sz w:val="17"/>
                <w:szCs w:val="17"/>
                <w:color w:val="auto"/>
              </w:rPr>
            </w:pPr>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No. 001-33853) filed with the Securities and Exchange Commission on April 29, 2008)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900" w:type="dxa"/>
            <w:vAlign w:val="bottom"/>
            <w:gridSpan w:val="4"/>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540" w:type="dxa"/>
            <w:vAlign w:val="bottom"/>
          </w:tcPr>
          <w:p>
            <w:pPr>
              <w:spacing w:after="0"/>
              <w:rPr>
                <w:sz w:val="17"/>
                <w:szCs w:val="17"/>
                <w:color w:val="auto"/>
              </w:rPr>
            </w:pPr>
          </w:p>
        </w:tc>
        <w:tc>
          <w:tcPr>
            <w:tcW w:w="99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2007 Share Incentive Plan of the Registrant, as amended and restated as of November 17, 2008 (incorporated by reference to Exhibit 4.21</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to our Annual Report on Form 20-F (File No. 001-33853) filed with the Securities and Exchange Commission on May 26, 2009)</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54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Translation of State-Owned Construction Land Use Right Transfer Contract dated September 30, 2011 between Chengdu Ctrip</w:t>
              </w:r>
            </w:hyperlink>
          </w:p>
        </w:tc>
        <w:tc>
          <w:tcPr>
            <w:tcW w:w="120" w:type="dxa"/>
            <w:vAlign w:val="bottom"/>
            <w:tcBorders>
              <w:top w:val="single" w:sz="8" w:color="0000EE"/>
            </w:tcBorders>
            <w:gridSpan w:val="2"/>
          </w:tcPr>
          <w:p>
            <w:pPr>
              <w:spacing w:after="0"/>
              <w:rPr>
                <w:sz w:val="17"/>
                <w:szCs w:val="17"/>
                <w:color w:val="auto"/>
              </w:rPr>
            </w:pPr>
          </w:p>
        </w:tc>
        <w:tc>
          <w:tcPr>
            <w:tcW w:w="7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Information Technology Co., Ltd. and Chengdu Land Resources Bureau (incorporated by reference to Exhibit 4.30 to our Annual Report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4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on Form 20-F (File No. 001-33853) filed with the Securities and Exchange Commission on March 30, 2012)</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420" w:type="dxa"/>
            <w:vAlign w:val="bottom"/>
            <w:gridSpan w:val="6"/>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540" w:type="dxa"/>
            <w:vAlign w:val="bottom"/>
          </w:tcPr>
          <w:p>
            <w:pPr>
              <w:spacing w:after="0"/>
              <w:rPr>
                <w:sz w:val="17"/>
                <w:szCs w:val="17"/>
                <w:color w:val="auto"/>
              </w:rPr>
            </w:pPr>
          </w:p>
        </w:tc>
        <w:tc>
          <w:tcPr>
            <w:tcW w:w="9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Standstill Agreement dated as of October 26, 2015 between Baidu, Inc. and the Registrant (incorporated by reference to Exhibit 3 to</w:t>
              </w:r>
            </w:hyperlink>
          </w:p>
        </w:tc>
        <w:tc>
          <w:tcPr>
            <w:tcW w:w="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Schedule 13D (File No. 005-79455) filed by Baidu, Inc. with the Securities and Exchange Commission on November 4, 2015)</w:t>
              </w:r>
            </w:hyperlink>
          </w:p>
        </w:tc>
        <w:tc>
          <w:tcPr>
            <w:tcW w:w="8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Registration Rights Agreement dated as of October 26, 2015 between Baidu Holdings Limited and the Registrant (incorporated by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7980" w:type="dxa"/>
            <w:vAlign w:val="bottom"/>
            <w:gridSpan w:val="1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6"/>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reference to Exhibit 4 to Schedule 13D (File No. 005-79455) filed by Baidu, Inc. with the Securities and Exchange Commission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November 4, 2015)</w:t>
              </w:r>
            </w:hyperlink>
          </w:p>
        </w:tc>
        <w:tc>
          <w:tcPr>
            <w:tcW w:w="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380" w:type="dxa"/>
            <w:vAlign w:val="bottom"/>
            <w:tcBorders>
              <w:top w:val="single" w:sz="8" w:color="0000EE"/>
            </w:tcBorders>
            <w:gridSpan w:val="3"/>
          </w:tcPr>
          <w:p>
            <w:pPr>
              <w:spacing w:after="0"/>
              <w:rPr>
                <w:sz w:val="24"/>
                <w:szCs w:val="24"/>
                <w:color w:val="auto"/>
              </w:rPr>
            </w:pPr>
          </w:p>
        </w:tc>
        <w:tc>
          <w:tcPr>
            <w:tcW w:w="4900" w:type="dxa"/>
            <w:vAlign w:val="bottom"/>
            <w:gridSpan w:val="4"/>
          </w:tcPr>
          <w:p>
            <w:pPr>
              <w:jc w:val="right"/>
              <w:ind w:right="1628"/>
              <w:spacing w:after="0"/>
              <w:rPr>
                <w:sz w:val="20"/>
                <w:szCs w:val="20"/>
                <w:color w:val="auto"/>
              </w:rPr>
            </w:pPr>
            <w:r>
              <w:rPr>
                <w:rFonts w:ascii="Times New Roman" w:cs="Times New Roman" w:eastAsia="Times New Roman" w:hAnsi="Times New Roman"/>
                <w:sz w:val="18"/>
                <w:szCs w:val="18"/>
                <w:color w:val="auto"/>
              </w:rPr>
              <w:t>142</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700" w:type="dxa"/>
            <w:vAlign w:val="bottom"/>
            <w:gridSpan w:val="2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4.14</w:t>
            </w:r>
          </w:p>
        </w:tc>
        <w:tc>
          <w:tcPr>
            <w:tcW w:w="620" w:type="dxa"/>
            <w:vAlign w:val="bottom"/>
          </w:tcPr>
          <w:p>
            <w:pPr>
              <w:spacing w:after="0"/>
              <w:rPr>
                <w:sz w:val="14"/>
                <w:szCs w:val="14"/>
                <w:color w:val="auto"/>
              </w:rPr>
            </w:pPr>
          </w:p>
        </w:tc>
        <w:tc>
          <w:tcPr>
            <w:tcW w:w="9900" w:type="dxa"/>
            <w:vAlign w:val="bottom"/>
            <w:gridSpan w:val="32"/>
          </w:tcPr>
          <w:p>
            <w:pPr>
              <w:ind w:left="20"/>
              <w:spacing w:after="0" w:line="163"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Framework Agreement for Treatment of Qunar Employee Shares and Equity Awards dated December 9, 2015 between the Registrant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60" w:type="dxa"/>
            <w:vAlign w:val="bottom"/>
            <w:tcBorders>
              <w:bottom w:val="single" w:sz="8" w:color="0000EE"/>
            </w:tcBorders>
            <w:gridSpan w:val="30"/>
          </w:tcPr>
          <w:p>
            <w:pPr>
              <w:ind w:left="20"/>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and Qunar Cayman Islands Limited (incorporated by reference to Exhibit 4.51 to our Annual Report on Form 20-F (File No. 001-33853)</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filed with the Securities and Exchange Commission on April 22, 2016)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620" w:type="dxa"/>
            <w:vAlign w:val="bottom"/>
          </w:tcPr>
          <w:p>
            <w:pPr>
              <w:spacing w:after="0"/>
              <w:rPr>
                <w:sz w:val="17"/>
                <w:szCs w:val="17"/>
                <w:color w:val="auto"/>
              </w:rPr>
            </w:pPr>
          </w:p>
        </w:tc>
        <w:tc>
          <w:tcPr>
            <w:tcW w:w="9040" w:type="dxa"/>
            <w:vAlign w:val="bottom"/>
            <w:tcBorders>
              <w:bottom w:val="single" w:sz="8" w:color="0000EE"/>
            </w:tcBorders>
            <w:gridSpan w:val="18"/>
          </w:tcPr>
          <w:p>
            <w:pPr>
              <w:ind w:left="20"/>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Restated Exclusive Technical Consulting and Services Agreement dated March 23, 2016 between Beijing Qu Na Information</w:t>
              </w:r>
            </w:hyperlink>
          </w:p>
        </w:tc>
        <w:tc>
          <w:tcPr>
            <w:tcW w:w="8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tcBorders>
              <w:bottom w:val="single" w:sz="8" w:color="0000EE"/>
            </w:tcBorders>
            <w:gridSpan w:val="29"/>
          </w:tcPr>
          <w:p>
            <w:pPr>
              <w:ind w:left="20"/>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Technology Co., Ltd. and Beijing Qunar Software Technology Co., Ltd. (incorporated by reference to Exhibit 4.52 to our Annual Report</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on Form 20-F (File No. 001-33853) filed with the Securities and Exchange Commission on April 22, 2016)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620" w:type="dxa"/>
            <w:vAlign w:val="bottom"/>
          </w:tcPr>
          <w:p>
            <w:pPr>
              <w:spacing w:after="0"/>
              <w:rPr>
                <w:sz w:val="17"/>
                <w:szCs w:val="17"/>
                <w:color w:val="auto"/>
              </w:rPr>
            </w:pPr>
          </w:p>
        </w:tc>
        <w:tc>
          <w:tcPr>
            <w:tcW w:w="9740" w:type="dxa"/>
            <w:vAlign w:val="bottom"/>
            <w:tcBorders>
              <w:bottom w:val="single" w:sz="8" w:color="0000EE"/>
            </w:tcBorders>
            <w:gridSpan w:val="26"/>
          </w:tcPr>
          <w:p>
            <w:pPr>
              <w:ind w:left="20"/>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Loan Agreement dated March 23, 2016 among Beijing Qunar Software Technology Co., Ltd., Hui Cao and Hui Wang (incorporated by</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80" w:type="dxa"/>
            <w:vAlign w:val="bottom"/>
            <w:tcBorders>
              <w:bottom w:val="single" w:sz="8" w:color="0000EE"/>
            </w:tcBorders>
            <w:gridSpan w:val="27"/>
          </w:tcPr>
          <w:p>
            <w:pPr>
              <w:ind w:left="20"/>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reference to Exhibit 4.53 to our Annual Report on Form 20-F (File No. 001-33853) filed with the Securities and Exchange Commission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on April 22, 2016)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620" w:type="dxa"/>
            <w:vAlign w:val="bottom"/>
          </w:tcPr>
          <w:p>
            <w:pPr>
              <w:spacing w:after="0"/>
              <w:rPr>
                <w:sz w:val="17"/>
                <w:szCs w:val="17"/>
                <w:color w:val="auto"/>
              </w:rPr>
            </w:pPr>
          </w:p>
        </w:tc>
        <w:tc>
          <w:tcPr>
            <w:tcW w:w="9780" w:type="dxa"/>
            <w:vAlign w:val="bottom"/>
            <w:tcBorders>
              <w:bottom w:val="single" w:sz="8" w:color="0000EE"/>
            </w:tcBorders>
            <w:gridSpan w:val="27"/>
          </w:tcPr>
          <w:p>
            <w:pPr>
              <w:ind w:left="20"/>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Equity Option Agreement dated March 23, 2016 among Qunar Cayman Islands Limited, Beijing Qunar Software Technology Co., Ltd.,</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Hui Cao, Hui Wang and Beijing Qu Na Information Technology Co., Ltd. (incorporated by reference to Exhibit 4.54 to our Annual</w:t>
              </w:r>
            </w:hyperlink>
          </w:p>
        </w:tc>
        <w:tc>
          <w:tcPr>
            <w:tcW w:w="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Report on Form 20-F (File No. 001-33853) filed with the Securities and Exchange Commission on April 22, 2016)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Equity Interest Pledge Agreement dated March 23, 2016 among Beijing Qunar Software Technology Co., Ltd., Hui Cao and Hui Wang</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20"/>
          </w:tcPr>
          <w:p>
            <w:pPr>
              <w:ind w:left="20"/>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(incorporated by reference to Exhibit 4.55 to our Annual Report on Form 20-F (File No. 001-33853) filed with the Securities and</w:t>
              </w:r>
            </w:hyperlink>
          </w:p>
        </w:tc>
        <w:tc>
          <w:tcPr>
            <w:tcW w:w="400" w:type="dxa"/>
            <w:vAlign w:val="bottom"/>
            <w:tcBorders>
              <w:top w:val="single" w:sz="8" w:color="0000EE"/>
            </w:tcBorders>
            <w:gridSpan w:val="5"/>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8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Exchange Commission on April 22, 2016)</w:t>
              </w:r>
            </w:hyperlink>
          </w:p>
        </w:tc>
        <w:tc>
          <w:tcPr>
            <w:tcW w:w="68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Power of Attorney by Hui Cao and Hui Wang dated March 23, 2016 (incorporated by reference to Exhibit 4.56 to our Annual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tcBorders>
              <w:top w:val="single" w:sz="8" w:color="0000EE"/>
            </w:tcBorders>
            <w:gridSpan w:val="28"/>
          </w:tcPr>
          <w:p>
            <w:pPr>
              <w:ind w:left="20"/>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Form 20-F (File No. 001-33853) filed with the Securities and Exchange Commission on April 22, 2016)</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6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Third Amended and Restated Global Share Incentive Plan</w:t>
            </w:r>
          </w:p>
        </w:tc>
        <w:tc>
          <w:tcPr>
            <w:tcW w:w="3320" w:type="dxa"/>
            <w:vAlign w:val="bottom"/>
            <w:tcBorders>
              <w:top w:val="single" w:sz="8" w:color="0000EE"/>
            </w:tcBorders>
            <w:gridSpan w:val="4"/>
          </w:tcPr>
          <w:p>
            <w:pPr>
              <w:spacing w:after="0"/>
              <w:rPr>
                <w:sz w:val="17"/>
                <w:szCs w:val="17"/>
                <w:color w:val="auto"/>
              </w:rPr>
            </w:pPr>
          </w:p>
        </w:tc>
        <w:tc>
          <w:tcPr>
            <w:tcW w:w="23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620" w:type="dxa"/>
            <w:vAlign w:val="bottom"/>
          </w:tcPr>
          <w:p>
            <w:pPr>
              <w:spacing w:after="0"/>
              <w:rPr>
                <w:sz w:val="17"/>
                <w:szCs w:val="17"/>
                <w:color w:val="auto"/>
              </w:rPr>
            </w:pPr>
          </w:p>
        </w:tc>
        <w:tc>
          <w:tcPr>
            <w:tcW w:w="9640" w:type="dxa"/>
            <w:vAlign w:val="bottom"/>
            <w:tcBorders>
              <w:bottom w:val="single" w:sz="8" w:color="0000EE"/>
            </w:tcBorders>
            <w:gridSpan w:val="24"/>
          </w:tcPr>
          <w:p>
            <w:pPr>
              <w:ind w:left="20"/>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 xml:space="preserve">Indenture dated July 20, 2020 constituting </w:t>
              </w:r>
              <w:r>
                <w:rPr>
                  <w:rFonts w:ascii="Times New Roman" w:cs="Times New Roman" w:eastAsia="Times New Roman" w:hAnsi="Times New Roman"/>
                  <w:sz w:val="18"/>
                  <w:szCs w:val="18"/>
                  <w:u w:val="single" w:color="auto"/>
                  <w:color w:val="0000EE"/>
                  <w:w w:val="99"/>
                </w:rPr>
                <w:t>US$</w:t>
              </w:r>
              <w:r>
                <w:rPr>
                  <w:rFonts w:ascii="Times New Roman" w:cs="Times New Roman" w:eastAsia="Times New Roman" w:hAnsi="Times New Roman"/>
                  <w:sz w:val="18"/>
                  <w:szCs w:val="18"/>
                  <w:color w:val="0000EE"/>
                  <w:w w:val="99"/>
                </w:rPr>
                <w:t>500 million 1.50% Exchangeable Senior Notes due 2027 (incorporated by reference to</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Exhibit 4.34 to our Annual Report on Form 20-F (File No. 001-33853) filed with the Securities and Exchange Commission on March 15,</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w w:val="90"/>
              </w:rPr>
            </w:pPr>
            <w:hyperlink r:id="rId209">
              <w:r>
                <w:rPr>
                  <w:rFonts w:ascii="Times New Roman" w:cs="Times New Roman" w:eastAsia="Times New Roman" w:hAnsi="Times New Roman"/>
                  <w:sz w:val="18"/>
                  <w:szCs w:val="18"/>
                  <w:color w:val="0000EE"/>
                  <w:w w:val="90"/>
                </w:rPr>
                <w:t>2021)</w:t>
              </w:r>
            </w:hyperlink>
          </w:p>
        </w:tc>
        <w:tc>
          <w:tcPr>
            <w:tcW w:w="92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620" w:type="dxa"/>
            <w:vAlign w:val="bottom"/>
          </w:tcPr>
          <w:p>
            <w:pPr>
              <w:spacing w:after="0"/>
              <w:rPr>
                <w:sz w:val="17"/>
                <w:szCs w:val="17"/>
                <w:color w:val="auto"/>
              </w:rPr>
            </w:pPr>
          </w:p>
        </w:tc>
        <w:tc>
          <w:tcPr>
            <w:tcW w:w="8980" w:type="dxa"/>
            <w:vAlign w:val="bottom"/>
            <w:tcBorders>
              <w:bottom w:val="single" w:sz="8" w:color="0000EE"/>
            </w:tcBorders>
            <w:gridSpan w:val="17"/>
          </w:tcPr>
          <w:p>
            <w:pPr>
              <w:ind w:left="20"/>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 xml:space="preserve">Supplemental Indenture dated December 15, 2020 constituting </w:t>
              </w:r>
              <w:r>
                <w:rPr>
                  <w:rFonts w:ascii="Times New Roman" w:cs="Times New Roman" w:eastAsia="Times New Roman" w:hAnsi="Times New Roman"/>
                  <w:sz w:val="18"/>
                  <w:szCs w:val="18"/>
                  <w:u w:val="single" w:color="auto"/>
                  <w:color w:val="0000EE"/>
                  <w:w w:val="99"/>
                </w:rPr>
                <w:t>US$</w:t>
              </w:r>
              <w:r>
                <w:rPr>
                  <w:rFonts w:ascii="Times New Roman" w:cs="Times New Roman" w:eastAsia="Times New Roman" w:hAnsi="Times New Roman"/>
                  <w:sz w:val="18"/>
                  <w:szCs w:val="18"/>
                  <w:color w:val="0000EE"/>
                  <w:w w:val="99"/>
                </w:rPr>
                <w:t>500 million 1.50% Exchangeable Senior Notes due 2027</w:t>
              </w:r>
            </w:hyperlink>
          </w:p>
        </w:tc>
        <w:tc>
          <w:tcPr>
            <w:tcW w:w="9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20" w:type="dxa"/>
            <w:vAlign w:val="bottom"/>
            <w:tcBorders>
              <w:bottom w:val="single" w:sz="8" w:color="0000EE"/>
            </w:tcBorders>
            <w:gridSpan w:val="20"/>
          </w:tcPr>
          <w:p>
            <w:pPr>
              <w:ind w:left="20"/>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(incorporated by reference to Exhibit 4.35 to our Annual Report on Form 20-F (File No. 001-33853) filed with the Securities and</w:t>
              </w:r>
            </w:hyperlink>
          </w:p>
        </w:tc>
        <w:tc>
          <w:tcPr>
            <w:tcW w:w="5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Exchange Commission on March 15,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 xml:space="preserve">Indenture dated June 7, 2024 constituting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1.5 billion 0.75% Convertible Senior Notes due 2029 (incorporated by reference to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4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Exhibit 4.26 to our Annual Report on Form 20-F (File No. 001-33853) filed with the Securities and Exchange Commission on April 11,</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w w:val="90"/>
              </w:rPr>
            </w:pPr>
            <w:hyperlink r:id="rId211">
              <w:r>
                <w:rPr>
                  <w:rFonts w:ascii="Times New Roman" w:cs="Times New Roman" w:eastAsia="Times New Roman" w:hAnsi="Times New Roman"/>
                  <w:sz w:val="18"/>
                  <w:szCs w:val="18"/>
                  <w:color w:val="0000EE"/>
                  <w:w w:val="90"/>
                </w:rPr>
                <w:t>2025)</w:t>
              </w:r>
            </w:hyperlink>
          </w:p>
        </w:tc>
        <w:tc>
          <w:tcPr>
            <w:tcW w:w="92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620" w:type="dxa"/>
            <w:vAlign w:val="bottom"/>
          </w:tcPr>
          <w:p>
            <w:pPr>
              <w:spacing w:after="0"/>
              <w:rPr>
                <w:sz w:val="17"/>
                <w:szCs w:val="17"/>
                <w:color w:val="auto"/>
              </w:rPr>
            </w:pPr>
          </w:p>
        </w:tc>
        <w:tc>
          <w:tcPr>
            <w:tcW w:w="4160" w:type="dxa"/>
            <w:vAlign w:val="bottom"/>
            <w:tcBorders>
              <w:bottom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List of Significant Consolidated Entities of the Registrant</w:t>
            </w:r>
          </w:p>
        </w:tc>
        <w:tc>
          <w:tcPr>
            <w:tcW w:w="57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620" w:type="dxa"/>
            <w:vAlign w:val="bottom"/>
          </w:tcPr>
          <w:p>
            <w:pPr>
              <w:spacing w:after="0"/>
              <w:rPr>
                <w:sz w:val="17"/>
                <w:szCs w:val="17"/>
                <w:color w:val="auto"/>
              </w:rPr>
            </w:pPr>
          </w:p>
        </w:tc>
        <w:tc>
          <w:tcPr>
            <w:tcW w:w="9360" w:type="dxa"/>
            <w:vAlign w:val="bottom"/>
            <w:tcBorders>
              <w:bottom w:val="single" w:sz="8" w:color="0000EE"/>
            </w:tcBorders>
            <w:gridSpan w:val="21"/>
          </w:tcPr>
          <w:p>
            <w:pPr>
              <w:ind w:left="20"/>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Code of Business Conduct and Ethics of the Registrant, as amended and restated as of July 23, 2023 (incorporated by reference to</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Exhibit 11.1 to our Annual Report on Form 20-F (File No. 001-33853) filed with the Securities and Exchange Commission on April 29,</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w w:val="90"/>
              </w:rPr>
            </w:pPr>
            <w:hyperlink r:id="rId212">
              <w:r>
                <w:rPr>
                  <w:rFonts w:ascii="Times New Roman" w:cs="Times New Roman" w:eastAsia="Times New Roman" w:hAnsi="Times New Roman"/>
                  <w:sz w:val="18"/>
                  <w:szCs w:val="18"/>
                  <w:color w:val="0000EE"/>
                  <w:w w:val="90"/>
                </w:rPr>
                <w:t>2024)</w:t>
              </w:r>
            </w:hyperlink>
          </w:p>
        </w:tc>
        <w:tc>
          <w:tcPr>
            <w:tcW w:w="92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620" w:type="dxa"/>
            <w:vAlign w:val="bottom"/>
          </w:tcPr>
          <w:p>
            <w:pPr>
              <w:spacing w:after="0"/>
              <w:rPr>
                <w:sz w:val="17"/>
                <w:szCs w:val="17"/>
                <w:color w:val="auto"/>
              </w:rPr>
            </w:pPr>
          </w:p>
        </w:tc>
        <w:tc>
          <w:tcPr>
            <w:tcW w:w="9240" w:type="dxa"/>
            <w:vAlign w:val="bottom"/>
            <w:tcBorders>
              <w:bottom w:val="single" w:sz="8" w:color="0000EE"/>
            </w:tcBorders>
            <w:gridSpan w:val="19"/>
          </w:tcPr>
          <w:p>
            <w:pPr>
              <w:ind w:left="20"/>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Amended and Restated Statement of Policies Governing Material Non-public Information and the Prevention of Insider Trading</w:t>
              </w:r>
            </w:hyperlink>
          </w:p>
        </w:tc>
        <w:tc>
          <w:tcPr>
            <w:tcW w:w="6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20" w:type="dxa"/>
            <w:vAlign w:val="bottom"/>
            <w:tcBorders>
              <w:bottom w:val="single" w:sz="8" w:color="0000EE"/>
            </w:tcBorders>
            <w:gridSpan w:val="20"/>
          </w:tcPr>
          <w:p>
            <w:pPr>
              <w:ind w:left="20"/>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(incorporated by reference to Exhibit 11.2 to our Annual Report on Form 20-F (File No. 001-33853) filed with the Securities and</w:t>
              </w:r>
            </w:hyperlink>
          </w:p>
        </w:tc>
        <w:tc>
          <w:tcPr>
            <w:tcW w:w="5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6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Exchange Commission on April 11, 2025)</w:t>
              </w:r>
            </w:hyperlink>
          </w:p>
        </w:tc>
        <w:tc>
          <w:tcPr>
            <w:tcW w:w="68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Chief Executive Officer Certification Pursuant to Section 302 of the Sarbanes-Oxley Act of 2002</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62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Chief Financial Officer Certification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29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6"/>
              </w:rPr>
              <w:t>13.1**</w:t>
            </w: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Chief Executive Officer Certification Pursuant to Section 906 of the Sarbanes-Oxley Act of 2002</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6"/>
              </w:rPr>
              <w:t>13.2**</w:t>
            </w:r>
          </w:p>
        </w:tc>
        <w:tc>
          <w:tcPr>
            <w:tcW w:w="62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Chief Financial Officer Certification Pursuant to Section 906 of the Sarbanes-Oxley Act of 2002</w:t>
            </w:r>
          </w:p>
        </w:tc>
        <w:tc>
          <w:tcPr>
            <w:tcW w:w="40" w:type="dxa"/>
            <w:vAlign w:val="bottom"/>
            <w:tcBorders>
              <w:top w:val="single" w:sz="8" w:color="0000EE"/>
            </w:tcBorders>
          </w:tcPr>
          <w:p>
            <w:pPr>
              <w:spacing w:after="0"/>
              <w:rPr>
                <w:sz w:val="17"/>
                <w:szCs w:val="17"/>
                <w:color w:val="auto"/>
              </w:rPr>
            </w:pPr>
          </w:p>
        </w:tc>
        <w:tc>
          <w:tcPr>
            <w:tcW w:w="29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620" w:type="dxa"/>
            <w:vAlign w:val="bottom"/>
          </w:tcPr>
          <w:p>
            <w:pPr>
              <w:spacing w:after="0"/>
              <w:rPr>
                <w:sz w:val="17"/>
                <w:szCs w:val="17"/>
                <w:color w:val="auto"/>
              </w:rPr>
            </w:pPr>
          </w:p>
        </w:tc>
        <w:tc>
          <w:tcPr>
            <w:tcW w:w="3580" w:type="dxa"/>
            <w:vAlign w:val="bottom"/>
            <w:tcBorders>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Consent of Maples and Calder (Hong Kong) LLP</w:t>
            </w:r>
          </w:p>
        </w:tc>
        <w:tc>
          <w:tcPr>
            <w:tcW w:w="63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620" w:type="dxa"/>
            <w:vAlign w:val="bottom"/>
          </w:tcPr>
          <w:p>
            <w:pPr>
              <w:spacing w:after="0"/>
              <w:rPr>
                <w:sz w:val="17"/>
                <w:szCs w:val="17"/>
                <w:color w:val="auto"/>
              </w:rPr>
            </w:pPr>
          </w:p>
        </w:tc>
        <w:tc>
          <w:tcPr>
            <w:tcW w:w="990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Consent of Commerce &amp; Finance Law Offices</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60" w:type="dxa"/>
            <w:vAlign w:val="bottom"/>
            <w:gridSpan w:val="6"/>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2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620" w:type="dxa"/>
            <w:vAlign w:val="bottom"/>
          </w:tcPr>
          <w:p>
            <w:pPr>
              <w:spacing w:after="0"/>
              <w:rPr>
                <w:sz w:val="17"/>
                <w:szCs w:val="17"/>
                <w:color w:val="auto"/>
              </w:rPr>
            </w:pPr>
          </w:p>
        </w:tc>
        <w:tc>
          <w:tcPr>
            <w:tcW w:w="3880" w:type="dxa"/>
            <w:vAlign w:val="bottom"/>
            <w:tcBorders>
              <w:bottom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Consent of PricewaterhouseCoopers Zhong Tian LLP</w:t>
            </w:r>
          </w:p>
        </w:tc>
        <w:tc>
          <w:tcPr>
            <w:tcW w:w="60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260" w:right="280" w:hanging="1144"/>
        <w:spacing w:after="0" w:line="282" w:lineRule="auto"/>
        <w:tabs>
          <w:tab w:leader="none" w:pos="1260" w:val="left"/>
        </w:tabs>
        <w:numPr>
          <w:ilvl w:val="0"/>
          <w:numId w:val="78"/>
        </w:numPr>
        <w:rPr>
          <w:rFonts w:ascii="Times New Roman" w:cs="Times New Roman" w:eastAsia="Times New Roman" w:hAnsi="Times New Roman"/>
          <w:sz w:val="18"/>
          <w:szCs w:val="18"/>
          <w:u w:val="single" w:color="auto"/>
          <w:color w:val="0000EE"/>
        </w:rPr>
      </w:pPr>
      <w:hyperlink r:id="rId214">
        <w:r>
          <w:rPr>
            <w:rFonts w:ascii="Times New Roman" w:cs="Times New Roman" w:eastAsia="Times New Roman" w:hAnsi="Times New Roman"/>
            <w:sz w:val="18"/>
            <w:szCs w:val="18"/>
            <w:u w:val="single" w:color="auto"/>
            <w:color w:val="0000EE"/>
          </w:rPr>
          <w:t>Clawback Policy of the Registrant (incorporated by reference to Exhibit 97 to our Annual Report on Form 20-F (File No. 001-33853)</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filed with the Securities and Exchange Commission on April 29, 2024)</w:t>
        </w:r>
      </w:hyperlink>
    </w:p>
    <w:p>
      <w:pPr>
        <w:spacing w:after="0" w:line="94"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82"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64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101.INS*</w:t>
            </w:r>
          </w:p>
        </w:tc>
        <w:tc>
          <w:tcPr>
            <w:tcW w:w="99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Inline XBRL Instance Documen-the instance document does not appear in the Interactive Data File as its XBRL tags are embedded</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with this annual report on Form 20-F.</w:t>
      </w:r>
    </w:p>
    <w:p>
      <w:pPr>
        <w:spacing w:after="0" w:line="109"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with this annual report on Form 20-F.</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82"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TRIP.COM GROUP LIMITED</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Jane Jie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Jane Jie Sun</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520"/>
          </w:cols>
          <w:pgMar w:left="320" w:top="482" w:right="10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 1424)</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60" w:type="dxa"/>
            <w:vAlign w:val="bottom"/>
            <w:gridSpan w:val="7"/>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income and comprehensive income for the years ended December 31, 2023, 2024 and 2025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85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20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34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2024 and 2025</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75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29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96"/>
        </w:trPr>
        <w:tc>
          <w:tcPr>
            <w:tcW w:w="69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366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385"/>
        </w:trPr>
        <w:tc>
          <w:tcPr>
            <w:tcW w:w="340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592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Shareholders of Trip.com Group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Trip.com Group Limited and its subsidiaries (the “Company”) as of December 31, 2025 and 2024, and the related consolidated statements of income and comprehensive income, of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Accommodation reservation services and transportation ticketing services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disclosed in the consolidated statements of income and comprehensive income, the Company’s accommodation reservation services and transportation ticketing services revenue was RMB26,100 million and RMB22,489 million, respectively, for the year ended December 31, 2025. As described in Note 2 to the consolidated financial statements, revenue from accommodation reservation services and transportation ticketing services is substantially recognized at a point of time when the performance obligations are satisfied. Revenue from accommodation reservation services and transportation ticketing services consist of a significant volume of low-value transactions processed through multiple customized information technology systems.</w:t>
      </w:r>
    </w:p>
    <w:p>
      <w:pPr>
        <w:spacing w:after="0" w:line="18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from accommodation reservation services and transportation ticketing services is a critical audit matter is a high degree of audit effort in performing procedures related to the Company’s revenue recognition for accommodation reservation services and transportation ticketing services.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of revenue from accommodation reservation services and transportation ticketing services, including testing the Company’s information technology general controls, system interface controls and automated controls related to systems utilized within the revenue recognition process. These procedures also included, among others, testing revenue transactions, on a sample basis, by agreeing the amounts recognized to source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28,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40"/>
          </w:cols>
          <w:pgMar w:left="320" w:top="482" w:right="5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6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for share and per share data)</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98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8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0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2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US$ (Note 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Accommodation reservation</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21,612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ticketing</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18,443</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20,301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22,489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Packaged tours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travel</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2,254</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6,404</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44,562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53,377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62,510</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 Sales tax and surcharges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44,510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53,294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62,409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8,925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(9,990)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(12,122)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36,389</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43,304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50,287</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7,192</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development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(12,120)</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(13,139)</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(15,136)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(9,202)</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(11,902)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(14,904)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(4,474)</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(25,065)</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2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(34,514)</w:t>
            </w: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11,324</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14,177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15,773</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2,603</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(2,067)</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(1,735)</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21,321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 and equity in income of affiliates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17,003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38,848</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(5,815)</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of affiliates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33,386</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 interests and mezzanine classified</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redemption value of redeemable non-controlling interests</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Trip.com Group Limited</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9,918</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17,067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33,294</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4,762</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(1,398)</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securities holding losses, net of tax</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(817)</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Reclassification adjustment for losses included in net income, net of tax</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18,196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32,156</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4,599</w:t>
            </w:r>
          </w:p>
        </w:tc>
        <w:tc>
          <w:tcPr>
            <w:tcW w:w="0" w:type="dxa"/>
            <w:vAlign w:val="bottom"/>
          </w:tcPr>
          <w:p>
            <w:pPr>
              <w:spacing w:after="0"/>
              <w:rPr>
                <w:sz w:val="1"/>
                <w:szCs w:val="1"/>
                <w:color w:val="auto"/>
              </w:rPr>
            </w:pP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 and mezzanine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classified non-controlling interests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redemption value of redeemable non-controlling interests</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Trip.com Group Limited</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ordinary share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50.62</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47.67</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ADS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15.19</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50.62</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47.67</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 Basic shares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652,859,211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654,035,399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657,754,190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657,754,190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 shares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671,062,240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688,704,882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698,378,891</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698,378,891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included in Operating expenses above is as follows: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development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4"/>
        </w:trPr>
        <w:tc>
          <w:tcPr>
            <w:tcW w:w="8660" w:type="dxa"/>
            <w:vAlign w:val="bottom"/>
            <w:gridSpan w:val="5"/>
          </w:tcPr>
          <w:p>
            <w:pPr>
              <w:ind w:left="236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626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F-4</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for share and per share data)</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40" w:type="dxa"/>
            <w:vAlign w:val="bottom"/>
          </w:tcPr>
          <w:p>
            <w:pPr>
              <w:spacing w:after="0"/>
              <w:rPr>
                <w:sz w:val="15"/>
                <w:szCs w:val="15"/>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42"/>
        </w:trPr>
        <w:tc>
          <w:tcPr>
            <w:tcW w:w="8440" w:type="dxa"/>
            <w:vAlign w:val="bottom"/>
          </w:tcPr>
          <w:p>
            <w:pPr>
              <w:spacing w:after="0"/>
              <w:rPr>
                <w:sz w:val="12"/>
                <w:szCs w:val="12"/>
                <w:color w:val="auto"/>
              </w:rPr>
            </w:pPr>
          </w:p>
        </w:tc>
        <w:tc>
          <w:tcPr>
            <w:tcW w:w="62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6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 (Note 2)</w:t>
            </w:r>
          </w:p>
        </w:tc>
        <w:tc>
          <w:tcPr>
            <w:tcW w:w="120" w:type="dxa"/>
            <w:vAlign w:val="bottom"/>
          </w:tcPr>
          <w:p>
            <w:pPr>
              <w:spacing w:after="0"/>
              <w:rPr>
                <w:sz w:val="12"/>
                <w:szCs w:val="12"/>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48,439</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39,848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5,698</w:t>
            </w:r>
          </w:p>
        </w:tc>
      </w:tr>
      <w:tr>
        <w:trPr>
          <w:trHeight w:val="203"/>
        </w:trPr>
        <w:tc>
          <w:tcPr>
            <w:tcW w:w="8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Restricted cash</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2,654</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6,603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944</w:t>
            </w:r>
          </w:p>
        </w:tc>
      </w:tr>
      <w:tr>
        <w:trPr>
          <w:trHeight w:val="203"/>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Short-term investments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28,475</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32,007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4,577</w:t>
            </w:r>
          </w:p>
        </w:tc>
      </w:tr>
      <w:tr>
        <w:trPr>
          <w:trHeight w:val="181"/>
        </w:trPr>
        <w:tc>
          <w:tcPr>
            <w:tcW w:w="8440" w:type="dxa"/>
            <w:vAlign w:val="bottom"/>
          </w:tcPr>
          <w:p>
            <w:pPr>
              <w:ind w:left="340"/>
              <w:spacing w:after="0" w:line="181" w:lineRule="exact"/>
              <w:rPr>
                <w:sz w:val="20"/>
                <w:szCs w:val="20"/>
                <w:color w:val="auto"/>
              </w:rPr>
            </w:pPr>
            <w:r>
              <w:rPr>
                <w:rFonts w:ascii="Times New Roman" w:cs="Times New Roman" w:eastAsia="Times New Roman" w:hAnsi="Times New Roman"/>
                <w:sz w:val="17"/>
                <w:szCs w:val="17"/>
                <w:color w:val="auto"/>
              </w:rPr>
              <w:t>Accounts receivable, net (Allowance for credit losses of RMB190 million and RMB193 million as of December 31,</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84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2024 and 2025, respectively)</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12,459</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15,241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2,179</w:t>
            </w:r>
          </w:p>
        </w:tc>
      </w:tr>
      <w:tr>
        <w:trPr>
          <w:trHeight w:val="182"/>
        </w:trPr>
        <w:tc>
          <w:tcPr>
            <w:tcW w:w="8440" w:type="dxa"/>
            <w:vAlign w:val="bottom"/>
            <w:shd w:val="clear" w:color="auto" w:fill="CCEEFF"/>
          </w:tcPr>
          <w:p>
            <w:pPr>
              <w:ind w:left="340"/>
              <w:spacing w:after="0" w:line="182" w:lineRule="exact"/>
              <w:rPr>
                <w:sz w:val="20"/>
                <w:szCs w:val="20"/>
                <w:color w:val="auto"/>
              </w:rPr>
            </w:pPr>
            <w:r>
              <w:rPr>
                <w:rFonts w:ascii="Times New Roman" w:cs="Times New Roman" w:eastAsia="Times New Roman" w:hAnsi="Times New Roman"/>
                <w:sz w:val="17"/>
                <w:szCs w:val="17"/>
                <w:color w:val="auto"/>
              </w:rPr>
              <w:t>Due from related parties (Allowance for credit losses of RMB72 million and RMB33 million as of December 31,</w:t>
            </w: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4"/>
        </w:trPr>
        <w:tc>
          <w:tcPr>
            <w:tcW w:w="8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2024 and 2025, respectively)</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2,803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3,369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482</w:t>
            </w:r>
          </w:p>
        </w:tc>
      </w:tr>
      <w:tr>
        <w:trPr>
          <w:trHeight w:val="181"/>
        </w:trPr>
        <w:tc>
          <w:tcPr>
            <w:tcW w:w="8440" w:type="dxa"/>
            <w:vAlign w:val="bottom"/>
          </w:tcPr>
          <w:p>
            <w:pPr>
              <w:ind w:left="340"/>
              <w:spacing w:after="0" w:line="181" w:lineRule="exact"/>
              <w:rPr>
                <w:sz w:val="20"/>
                <w:szCs w:val="20"/>
                <w:color w:val="auto"/>
              </w:rPr>
            </w:pPr>
            <w:r>
              <w:rPr>
                <w:rFonts w:ascii="Times New Roman" w:cs="Times New Roman" w:eastAsia="Times New Roman" w:hAnsi="Times New Roman"/>
                <w:sz w:val="17"/>
                <w:szCs w:val="17"/>
                <w:color w:val="auto"/>
              </w:rPr>
              <w:t>Prepayments and other current assets (Allowance for credit losses of RMB360 million and RMB616 million as of</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84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December 31, 2024 and 2025, respectively)</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17,290</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23,982</w:t>
            </w: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3,429</w:t>
            </w:r>
          </w:p>
        </w:tc>
      </w:tr>
      <w:tr>
        <w:trPr>
          <w:trHeight w:val="28"/>
        </w:trPr>
        <w:tc>
          <w:tcPr>
            <w:tcW w:w="8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112,120</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121,050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17,309</w:t>
            </w: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Long-term prepayments and other assets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454</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86</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use rights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77</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Property, equipment and software</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5,053</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5,445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779</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47,194</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61,375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8,777</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60,911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62,268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8,904</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12,763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12,862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1,839</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755</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881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126</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3,254</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2,755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394</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242,581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267,387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38,236</w:t>
            </w:r>
          </w:p>
        </w:tc>
      </w:tr>
      <w:tr>
        <w:trPr>
          <w:trHeight w:val="20"/>
        </w:trPr>
        <w:tc>
          <w:tcPr>
            <w:tcW w:w="8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Short-term debt and current portion of long-term debt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19,433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19,335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2,765</w:t>
            </w:r>
          </w:p>
        </w:tc>
      </w:tr>
      <w:tr>
        <w:trPr>
          <w:trHeight w:val="203"/>
        </w:trPr>
        <w:tc>
          <w:tcPr>
            <w:tcW w:w="8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16,578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19,150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2,738</w:t>
            </w:r>
          </w:p>
        </w:tc>
      </w:tr>
      <w:tr>
        <w:trPr>
          <w:trHeight w:val="203"/>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Due to related parties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397</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344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49</w:t>
            </w:r>
          </w:p>
        </w:tc>
      </w:tr>
      <w:tr>
        <w:trPr>
          <w:trHeight w:val="203"/>
        </w:trPr>
        <w:tc>
          <w:tcPr>
            <w:tcW w:w="8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Salary and welfare payable</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5,343</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5,948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851</w:t>
            </w:r>
          </w:p>
        </w:tc>
      </w:tr>
      <w:tr>
        <w:trPr>
          <w:trHeight w:val="203"/>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Taxes payable</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2,117</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2,048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293</w:t>
            </w:r>
          </w:p>
        </w:tc>
      </w:tr>
      <w:tr>
        <w:trPr>
          <w:trHeight w:val="203"/>
        </w:trPr>
        <w:tc>
          <w:tcPr>
            <w:tcW w:w="8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Advances from customers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18,029</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18,185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2,600</w:t>
            </w:r>
          </w:p>
        </w:tc>
      </w:tr>
      <w:tr>
        <w:trPr>
          <w:trHeight w:val="203"/>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liability for rewards program</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2,452</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3,262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466</w:t>
            </w:r>
          </w:p>
        </w:tc>
      </w:tr>
      <w:tr>
        <w:trPr>
          <w:trHeight w:val="203"/>
        </w:trPr>
        <w:tc>
          <w:tcPr>
            <w:tcW w:w="8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payables and accruals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9,661</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9,897</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1,415</w:t>
            </w:r>
          </w:p>
        </w:tc>
      </w:tr>
      <w:tr>
        <w:trPr>
          <w:trHeight w:val="27"/>
        </w:trPr>
        <w:tc>
          <w:tcPr>
            <w:tcW w:w="8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74,010</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78,169</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11,177</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4,098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3,949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565</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20,134</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11,430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1,634</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Long-term lease liability</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585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84</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296</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654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94</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99,099</w:t>
            </w: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94,787</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13,554</w:t>
            </w:r>
          </w:p>
        </w:tc>
        <w:tc>
          <w:tcPr>
            <w:tcW w:w="120" w:type="dxa"/>
            <w:vAlign w:val="bottom"/>
          </w:tcPr>
          <w:p>
            <w:pPr>
              <w:spacing w:after="0"/>
              <w:rPr>
                <w:sz w:val="18"/>
                <w:szCs w:val="18"/>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19)</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MEZZANINE EQUITY</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743</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1"/>
        </w:trPr>
        <w:tc>
          <w:tcPr>
            <w:tcW w:w="84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Share capital (US$0.00125 par value; 1,400,000,000 shares authorized, issued shares as of December 31, 2024 and 2025:</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8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689,450,266 and 695,779,137; outstanding shares as of December 31, 2024 and 2025: 653,270,717 and 649,583,574)</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101,187</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103,953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14,865</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Statutory reserves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2,694</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3,219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460</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(1,431)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(2,661)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(381)</w:t>
            </w: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45,251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76,597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10,954</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Treasury stock</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(5,900)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(10,296)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(1,472)</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Trip.com Group Limited shareholders’ equity</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141,807</w:t>
            </w:r>
          </w:p>
        </w:tc>
        <w:tc>
          <w:tcPr>
            <w:tcW w:w="2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170,818</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24,427</w:t>
            </w:r>
          </w:p>
        </w:tc>
        <w:tc>
          <w:tcPr>
            <w:tcW w:w="120" w:type="dxa"/>
            <w:vAlign w:val="bottom"/>
          </w:tcPr>
          <w:p>
            <w:pPr>
              <w:spacing w:after="0"/>
              <w:rPr>
                <w:sz w:val="18"/>
                <w:szCs w:val="18"/>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932</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1,651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236</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142,739</w:t>
            </w: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172,469</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24,663</w:t>
            </w:r>
          </w:p>
        </w:tc>
        <w:tc>
          <w:tcPr>
            <w:tcW w:w="120" w:type="dxa"/>
            <w:vAlign w:val="bottom"/>
          </w:tcPr>
          <w:p>
            <w:pPr>
              <w:spacing w:after="0"/>
              <w:rPr>
                <w:sz w:val="18"/>
                <w:szCs w:val="18"/>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mezzanine equity and shareholders’ equity</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242,581</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267,387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38,236</w:t>
            </w:r>
          </w:p>
        </w:tc>
      </w:tr>
      <w:tr>
        <w:trPr>
          <w:trHeight w:val="20"/>
        </w:trPr>
        <w:tc>
          <w:tcPr>
            <w:tcW w:w="8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for share and per share data)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38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(US$0.00125 par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940" w:type="dxa"/>
            <w:vAlign w:val="bottom"/>
            <w:tcBorders>
              <w:bottom w:val="single" w:sz="8" w:color="auto"/>
            </w:tcBorders>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8"/>
              </w:rPr>
              <w:t>value)</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Trip.com</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Par</w:t>
            </w:r>
          </w:p>
        </w:tc>
        <w:tc>
          <w:tcPr>
            <w:tcW w:w="82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7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44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0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20" w:type="dxa"/>
            <w:vAlign w:val="bottom"/>
            <w:gridSpan w:val="2"/>
            <w:vMerge w:val="continue"/>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74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0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as of December 31,</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646,066,830</w:t>
            </w: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95,196</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825</w:t>
            </w: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(1,768)</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20,135</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(23,432,968)</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(2,111)</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112,283</w:t>
            </w: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736</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113,019</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Issuance of ordinary shares for</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960" w:type="dxa"/>
            <w:vAlign w:val="bottom"/>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4,787,940</w:t>
            </w:r>
          </w:p>
        </w:tc>
        <w:tc>
          <w:tcPr>
            <w:tcW w:w="160" w:type="dxa"/>
            <w:vAlign w:val="bottom"/>
          </w:tcPr>
          <w:p>
            <w:pPr>
              <w:spacing w:after="0"/>
              <w:rPr>
                <w:sz w:val="10"/>
                <w:szCs w:val="10"/>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399</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399</w:t>
            </w: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exercise of stock options</w:t>
            </w: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gridSpan w:val="2"/>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1,834</w:t>
            </w:r>
          </w:p>
        </w:tc>
        <w:tc>
          <w:tcPr>
            <w:tcW w:w="7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1,834</w:t>
            </w:r>
          </w:p>
        </w:tc>
        <w:tc>
          <w:tcPr>
            <w:tcW w:w="7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1,834</w:t>
            </w:r>
          </w:p>
        </w:tc>
        <w:tc>
          <w:tcPr>
            <w:tcW w:w="0" w:type="dxa"/>
            <w:vAlign w:val="bottom"/>
          </w:tcPr>
          <w:p>
            <w:pPr>
              <w:spacing w:after="0"/>
              <w:rPr>
                <w:sz w:val="1"/>
                <w:szCs w:val="1"/>
                <w:color w:val="auto"/>
              </w:rPr>
            </w:pPr>
          </w:p>
        </w:tc>
      </w:tr>
      <w:tr>
        <w:trPr>
          <w:trHeight w:val="126"/>
        </w:trPr>
        <w:tc>
          <w:tcPr>
            <w:tcW w:w="1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Appropriations to statutory</w:t>
            </w:r>
          </w:p>
        </w:tc>
        <w:tc>
          <w:tcPr>
            <w:tcW w:w="940" w:type="dxa"/>
            <w:vAlign w:val="bottom"/>
            <w:gridSpan w:val="2"/>
            <w:vMerge w:val="restart"/>
          </w:tcPr>
          <w:p>
            <w:pPr>
              <w:jc w:val="center"/>
              <w:ind w:left="28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1,247</w:t>
            </w: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(1,247)</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reserves</w:t>
            </w:r>
          </w:p>
        </w:tc>
        <w:tc>
          <w:tcPr>
            <w:tcW w:w="94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gridSpan w:val="2"/>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w:t>
            </w: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94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securities holding</w:t>
            </w:r>
          </w:p>
        </w:tc>
        <w:tc>
          <w:tcPr>
            <w:tcW w:w="940" w:type="dxa"/>
            <w:vAlign w:val="bottom"/>
            <w:gridSpan w:val="2"/>
            <w:vMerge w:val="restart"/>
          </w:tcPr>
          <w:p>
            <w:pPr>
              <w:jc w:val="center"/>
              <w:ind w:left="28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(817)</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(817)</w:t>
            </w: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losses</w:t>
            </w:r>
          </w:p>
        </w:tc>
        <w:tc>
          <w:tcPr>
            <w:tcW w:w="94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Less: Amounts reclassified from</w:t>
            </w: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comprehensive loss to net</w:t>
            </w:r>
          </w:p>
        </w:tc>
        <w:tc>
          <w:tcPr>
            <w:tcW w:w="940" w:type="dxa"/>
            <w:vAlign w:val="bottom"/>
            <w:gridSpan w:val="2"/>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108</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108</w:t>
            </w: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w:t>
            </w:r>
          </w:p>
        </w:tc>
        <w:tc>
          <w:tcPr>
            <w:tcW w:w="94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9,918</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9,918</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10,002</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Repurchasing of ordinary shares</w:t>
            </w: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(6,765,720)</w:t>
            </w: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(6,765,720)</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(1,617)</w:t>
            </w: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(1,617)</w:t>
            </w:r>
          </w:p>
        </w:tc>
        <w:tc>
          <w:tcPr>
            <w:tcW w:w="7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combination</w:t>
            </w:r>
          </w:p>
        </w:tc>
        <w:tc>
          <w:tcPr>
            <w:tcW w:w="940" w:type="dxa"/>
            <w:vAlign w:val="bottom"/>
            <w:gridSpan w:val="2"/>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Acquisition of additional equity</w:t>
            </w:r>
          </w:p>
        </w:tc>
        <w:tc>
          <w:tcPr>
            <w:tcW w:w="780" w:type="dxa"/>
            <w:vAlign w:val="bottom"/>
            <w:vMerge w:val="restart"/>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vMerge w:val="restart"/>
            <w:shd w:val="clear" w:color="auto" w:fill="CCEEFF"/>
          </w:tcPr>
          <w:p>
            <w:pPr>
              <w:spacing w:after="0"/>
              <w:rPr>
                <w:sz w:val="10"/>
                <w:szCs w:val="10"/>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vMerge w:val="restart"/>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 of subsidiaries</w:t>
            </w:r>
          </w:p>
        </w:tc>
        <w:tc>
          <w:tcPr>
            <w:tcW w:w="78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Balance as of December 31,</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644,089,050</w:t>
            </w:r>
          </w:p>
        </w:tc>
        <w:tc>
          <w:tcPr>
            <w:tcW w:w="16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vMerge w:val="restart"/>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97,428</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2,072</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(2,400)</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28,806</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(30,198,688)</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(3,728)</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122,184</w:t>
            </w: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822</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123,006</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for share and per share data)</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3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(US$0.00125 par</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Trip.com</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Par</w:t>
            </w:r>
          </w:p>
        </w:tc>
        <w:tc>
          <w:tcPr>
            <w:tcW w:w="84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Statutory</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8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gridSpan w:val="2"/>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0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20" w:type="dxa"/>
            <w:vAlign w:val="bottom"/>
            <w:gridSpan w:val="2"/>
            <w:vMerge w:val="continue"/>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72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58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as of December 31,</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644,089,050</w:t>
            </w:r>
          </w:p>
        </w:tc>
        <w:tc>
          <w:tcPr>
            <w:tcW w:w="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97,428</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2,072</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(2,400)</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28,806</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(30,198,688)</w:t>
            </w:r>
          </w:p>
        </w:tc>
        <w:tc>
          <w:tcPr>
            <w:tcW w:w="7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(3,728)</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122,184</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822</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123,006</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92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Issuance of ordinary shares for</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920" w:type="dxa"/>
            <w:vAlign w:val="bottom"/>
            <w:vMerge w:val="continue"/>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15,146,907</w:t>
            </w: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1,726</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1,726</w:t>
            </w: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1,726</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exercise of stock options</w:t>
            </w:r>
          </w:p>
        </w:tc>
        <w:tc>
          <w:tcPr>
            <w:tcW w:w="92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convertible notes</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15,621</w:t>
            </w:r>
          </w:p>
        </w:tc>
        <w:tc>
          <w:tcPr>
            <w:tcW w:w="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7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1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gridSpan w:val="2"/>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2,042</w:t>
            </w:r>
          </w:p>
        </w:tc>
        <w:tc>
          <w:tcPr>
            <w:tcW w:w="7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2,042</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Appropriations to statutory</w:t>
            </w:r>
          </w:p>
        </w:tc>
        <w:tc>
          <w:tcPr>
            <w:tcW w:w="920" w:type="dxa"/>
            <w:vAlign w:val="bottom"/>
            <w:gridSpan w:val="2"/>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622</w:t>
            </w:r>
          </w:p>
        </w:tc>
        <w:tc>
          <w:tcPr>
            <w:tcW w:w="10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(622)</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reserves</w:t>
            </w:r>
          </w:p>
        </w:tc>
        <w:tc>
          <w:tcPr>
            <w:tcW w:w="92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gridSpan w:val="2"/>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417</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417</w:t>
            </w: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92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securities holding</w:t>
            </w:r>
          </w:p>
        </w:tc>
        <w:tc>
          <w:tcPr>
            <w:tcW w:w="920" w:type="dxa"/>
            <w:vAlign w:val="bottom"/>
            <w:gridSpan w:val="2"/>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losses</w:t>
            </w:r>
          </w:p>
        </w:tc>
        <w:tc>
          <w:tcPr>
            <w:tcW w:w="92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Less: Amounts reclassified</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from accumulated other</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comprehensive loss to net</w:t>
            </w:r>
          </w:p>
        </w:tc>
        <w:tc>
          <w:tcPr>
            <w:tcW w:w="920" w:type="dxa"/>
            <w:vAlign w:val="bottom"/>
            <w:gridSpan w:val="2"/>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622</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622</w:t>
            </w: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w:t>
            </w:r>
          </w:p>
        </w:tc>
        <w:tc>
          <w:tcPr>
            <w:tcW w:w="92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17,067</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17,067</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17,200</w:t>
            </w:r>
          </w:p>
        </w:tc>
        <w:tc>
          <w:tcPr>
            <w:tcW w:w="0" w:type="dxa"/>
            <w:vAlign w:val="bottom"/>
          </w:tcPr>
          <w:p>
            <w:pPr>
              <w:spacing w:after="0"/>
              <w:rPr>
                <w:sz w:val="1"/>
                <w:szCs w:val="1"/>
                <w:color w:val="auto"/>
              </w:rPr>
            </w:pPr>
          </w:p>
        </w:tc>
      </w:tr>
      <w:tr>
        <w:trPr>
          <w:trHeight w:val="126"/>
        </w:trPr>
        <w:tc>
          <w:tcPr>
            <w:tcW w:w="1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Repurchasing of ordinary</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(5,980,861)</w:t>
            </w: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(5,980,861)</w:t>
            </w: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(2,172)</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(2,172)</w:t>
            </w: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(2,172)</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combination</w:t>
            </w:r>
          </w:p>
        </w:tc>
        <w:tc>
          <w:tcPr>
            <w:tcW w:w="920" w:type="dxa"/>
            <w:vAlign w:val="bottom"/>
            <w:gridSpan w:val="2"/>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26"/>
        </w:trPr>
        <w:tc>
          <w:tcPr>
            <w:tcW w:w="1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Acquisition of additional equity</w:t>
            </w:r>
          </w:p>
        </w:tc>
        <w:tc>
          <w:tcPr>
            <w:tcW w:w="76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vMerge w:val="restart"/>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vMerge w:val="restart"/>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(74)</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interests of subsidiaries</w:t>
            </w:r>
          </w:p>
        </w:tc>
        <w:tc>
          <w:tcPr>
            <w:tcW w:w="7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as of December 31,</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653,270,717</w:t>
            </w:r>
          </w:p>
        </w:tc>
        <w:tc>
          <w:tcPr>
            <w:tcW w:w="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101,187</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2,694</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(1,431)</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45,251</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(36,179,549)</w:t>
            </w:r>
          </w:p>
        </w:tc>
        <w:tc>
          <w:tcPr>
            <w:tcW w:w="7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(5,900)</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141,807</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932</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142,739</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92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82"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for share and per share data)</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(US$0.00125 par</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940" w:type="dxa"/>
            <w:vAlign w:val="bottom"/>
            <w:tcBorders>
              <w:bottom w:val="single" w:sz="8" w:color="auto"/>
            </w:tcBorders>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8"/>
              </w:rPr>
              <w:t>value)</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Trip.com</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Par</w:t>
            </w:r>
          </w:p>
        </w:tc>
        <w:tc>
          <w:tcPr>
            <w:tcW w:w="78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Statutory</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8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44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0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20" w:type="dxa"/>
            <w:vAlign w:val="bottom"/>
            <w:gridSpan w:val="2"/>
            <w:vMerge w:val="continue"/>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72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58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as of December 31,</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653,270,717</w:t>
            </w: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101,187</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2,694</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(1,431)</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45,251</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(36,179,549)</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(5,900)</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141,807</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932</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142,739</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Issuance of ordinary shares for</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960" w:type="dxa"/>
            <w:vAlign w:val="bottom"/>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6,256,673</w:t>
            </w:r>
          </w:p>
        </w:tc>
        <w:tc>
          <w:tcPr>
            <w:tcW w:w="160" w:type="dxa"/>
            <w:vAlign w:val="bottom"/>
          </w:tcPr>
          <w:p>
            <w:pPr>
              <w:spacing w:after="0"/>
              <w:rPr>
                <w:sz w:val="10"/>
                <w:szCs w:val="10"/>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493</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493</w:t>
            </w: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exercise of stock options</w:t>
            </w: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convertible notes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72,198</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7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gridSpan w:val="2"/>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2,222</w:t>
            </w:r>
          </w:p>
        </w:tc>
        <w:tc>
          <w:tcPr>
            <w:tcW w:w="7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2,222</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Appropriations to statutory</w:t>
            </w:r>
          </w:p>
        </w:tc>
        <w:tc>
          <w:tcPr>
            <w:tcW w:w="940" w:type="dxa"/>
            <w:vAlign w:val="bottom"/>
            <w:gridSpan w:val="2"/>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525</w:t>
            </w:r>
          </w:p>
        </w:tc>
        <w:tc>
          <w:tcPr>
            <w:tcW w:w="10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(525)</w:t>
            </w:r>
          </w:p>
        </w:tc>
        <w:tc>
          <w:tcPr>
            <w:tcW w:w="9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reserves</w:t>
            </w:r>
          </w:p>
        </w:tc>
        <w:tc>
          <w:tcPr>
            <w:tcW w:w="94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40" w:type="dxa"/>
            <w:vAlign w:val="bottom"/>
            <w:gridSpan w:val="2"/>
            <w:vMerge w:val="restart"/>
          </w:tcPr>
          <w:p>
            <w:pPr>
              <w:jc w:val="center"/>
              <w:ind w:left="28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(1,398)</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(1,398)</w:t>
            </w: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(1,398)</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94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securities holding</w:t>
            </w:r>
          </w:p>
        </w:tc>
        <w:tc>
          <w:tcPr>
            <w:tcW w:w="940" w:type="dxa"/>
            <w:vAlign w:val="bottom"/>
            <w:gridSpan w:val="2"/>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(122)</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(122)</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losses</w:t>
            </w:r>
          </w:p>
        </w:tc>
        <w:tc>
          <w:tcPr>
            <w:tcW w:w="94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Less: Amounts reclassified from</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comprehensive loss to net</w:t>
            </w:r>
          </w:p>
        </w:tc>
        <w:tc>
          <w:tcPr>
            <w:tcW w:w="940" w:type="dxa"/>
            <w:vAlign w:val="bottom"/>
            <w:gridSpan w:val="2"/>
            <w:vMerge w:val="restart"/>
          </w:tcPr>
          <w:p>
            <w:pPr>
              <w:jc w:val="center"/>
              <w:ind w:left="28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290</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290</w:t>
            </w: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w:t>
            </w:r>
          </w:p>
        </w:tc>
        <w:tc>
          <w:tcPr>
            <w:tcW w:w="94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33,294</w:t>
            </w:r>
          </w:p>
        </w:tc>
        <w:tc>
          <w:tcPr>
            <w:tcW w:w="90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33,294</w:t>
            </w: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33,352</w:t>
            </w: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Repurchasing of ordinary shares</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(10,016,014)</w:t>
            </w: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(10,016,014)</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(4,396)</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(4,396)</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(4,396)</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Business combination and</w:t>
            </w: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additions of non-controlling</w:t>
            </w:r>
          </w:p>
        </w:tc>
        <w:tc>
          <w:tcPr>
            <w:tcW w:w="940" w:type="dxa"/>
            <w:vAlign w:val="bottom"/>
            <w:gridSpan w:val="2"/>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727</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94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distribution</w:t>
            </w:r>
          </w:p>
        </w:tc>
        <w:tc>
          <w:tcPr>
            <w:tcW w:w="940" w:type="dxa"/>
            <w:vAlign w:val="bottom"/>
            <w:gridSpan w:val="2"/>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(1,423)</w:t>
            </w:r>
          </w:p>
        </w:tc>
        <w:tc>
          <w:tcPr>
            <w:tcW w:w="90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(1,423)</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(1,423)</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Acquisition of additional equity</w:t>
            </w:r>
          </w:p>
        </w:tc>
        <w:tc>
          <w:tcPr>
            <w:tcW w:w="780" w:type="dxa"/>
            <w:vAlign w:val="bottom"/>
            <w:vMerge w:val="restart"/>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vMerge w:val="restart"/>
            <w:shd w:val="clear" w:color="auto" w:fill="CCEEFF"/>
          </w:tcPr>
          <w:p>
            <w:pPr>
              <w:spacing w:after="0"/>
              <w:rPr>
                <w:sz w:val="10"/>
                <w:szCs w:val="10"/>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vMerge w:val="restart"/>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(114)</w:t>
            </w: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 of subsidiaries</w:t>
            </w:r>
          </w:p>
        </w:tc>
        <w:tc>
          <w:tcPr>
            <w:tcW w:w="78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Balance as of December 31,</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649,583,574</w:t>
            </w:r>
          </w:p>
        </w:tc>
        <w:tc>
          <w:tcPr>
            <w:tcW w:w="16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vMerge w:val="restart"/>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103,953</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3,219</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(2,661)</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76,597</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(46,195,563)</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(10,296)</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170,818</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1,651</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172,469</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82"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42"/>
        </w:trPr>
        <w:tc>
          <w:tcPr>
            <w:tcW w:w="7520" w:type="dxa"/>
            <w:vAlign w:val="bottom"/>
          </w:tcPr>
          <w:p>
            <w:pPr>
              <w:spacing w:after="0"/>
              <w:rPr>
                <w:sz w:val="12"/>
                <w:szCs w:val="12"/>
                <w:color w:val="auto"/>
              </w:rPr>
            </w:pPr>
          </w:p>
        </w:tc>
        <w:tc>
          <w:tcPr>
            <w:tcW w:w="62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62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tcPr>
          <w:p>
            <w:pPr>
              <w:spacing w:after="0"/>
              <w:rPr>
                <w:sz w:val="12"/>
                <w:szCs w:val="12"/>
                <w:color w:val="auto"/>
              </w:rPr>
            </w:pPr>
          </w:p>
        </w:tc>
        <w:tc>
          <w:tcPr>
            <w:tcW w:w="8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US$ (Note 2)</w:t>
            </w: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10,002</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17,227</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33,386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cash provided by operating activities: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2,042</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income of affiliates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(2,828)</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Loss/(Gain) from disposal of property, equipment and software</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from acquirement of business or disposal of long-term investments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(15,409)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(2,203)</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Impairments of long-term investments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fair value for equity securities investment and exchangeable senior notes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(1,082)</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(3,954)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w:t>
            </w:r>
          </w:p>
        </w:tc>
      </w:tr>
      <w:tr>
        <w:trPr>
          <w:trHeight w:val="198"/>
        </w:trPr>
        <w:tc>
          <w:tcPr>
            <w:tcW w:w="75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Gain from the fair value remeasurement upon the discontinuance of the available-for-sale debt</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7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investments</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(Gain)/Loss from foreign currency forwards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on capital gain of disposal of an equity method investment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property, equipment and software</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655</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 and land use rights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(benefits)/expenses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Changes in assets and liabilities, net of effects of business acquisitions and disposals: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(6,026)</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(Increase)/Decrease in due from related parties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(936)</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prepayments and other current assets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(Increase)/Decrease in long-term receivables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Increase/(Decrease) in accounts payable</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Increase/(Decrease) in due to related parties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Increase/(Decrease) in salary and welfare payable</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Increase/(Decrease) in taxes payable</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advances from customers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5,129</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3,869</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accrued liability for rewards program</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Increase/(Decrease) in other payables and accruals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2,059</w:t>
            </w: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equipment and software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Disposal of property, equipment and software</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long-term investments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(9,153)</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(6,776)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(22,139)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(3,166)</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received/(paid) for business combinations, net of cash acquired</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1,217</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disposal of short-term investments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11,141</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53,970</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163,561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23,389</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short-term investments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(7,314)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(63,230)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(175,699)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(25,125)</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loans to the users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24,523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6,661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9,053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1,295</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loans to the users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(25,018)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(7,864)</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(10,419)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(1,490)</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loans to the users with terms of less than three months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disposal of long-term investments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33,286</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4,760</w:t>
            </w:r>
          </w:p>
        </w:tc>
      </w:tr>
      <w:tr>
        <w:trPr>
          <w:trHeight w:val="27"/>
        </w:trPr>
        <w:tc>
          <w:tcPr>
            <w:tcW w:w="7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(6,052)</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(4,181)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w:t>
            </w:r>
          </w:p>
        </w:tc>
      </w:tr>
      <w:tr>
        <w:trPr>
          <w:trHeight w:val="371"/>
        </w:trPr>
        <w:tc>
          <w:tcPr>
            <w:tcW w:w="752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F-9</w:t>
            </w: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62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62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62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US$ (Note 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bank loans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34,562</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31,775</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34,410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short-term bank loans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(40,756)</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(35,050)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(36,285)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bank loans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11,915</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loans, including current portion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(7,682)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(14,860)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(8,565)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1,726</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 of additional equity interests of subsidiaries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repurchasing of ordinary shares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10,737</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securitization debt and other investors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settlement of securitization debt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Dividends distribution</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(2,547)</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(14,663)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 restricted cash</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 restricted cash</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25,496</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(4,642)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beginning of year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51,093</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end of year*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6,642</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1,889</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1,653</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consideration paid for business acquisitions, investments and non-controlling interest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Accruals related to purchase of property, equipment and software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7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Unpaid cash consideration for business acquisitions and acquisition of additional equity interest of a</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cash and cash equivalents and restricted cash are RMB41.6 billion and RMB2.4 billion respectively.</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82"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2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(Amounts expressed in RENMINBI (“RMB”) unless otherwise stated)</w:t>
      </w:r>
    </w:p>
    <w:p>
      <w:pPr>
        <w:spacing w:after="0" w:line="230"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Trip.com Group Limited (the “Company”, formerly known as Ctrip.com International, Ltd.), its subsidiaries, variable interest entities (the “VIEs”) and VIEs’ subsidiaries. In these consolidated financial statements, where appropriate, the term “Company” also refers to its subsidiaries, VIEs and VIEs’ subsidiaries as a whole.</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is principally engaged in the provision of travel related services including accommodation reservation, transportation ticketing, packaged tours, corporate travel management services, as well as other related services.</w:t>
      </w:r>
    </w:p>
    <w:p>
      <w:pPr>
        <w:spacing w:after="0" w:line="239" w:lineRule="exact"/>
        <w:rPr>
          <w:sz w:val="20"/>
          <w:szCs w:val="20"/>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disclosures of contingent assets and liabilities at the balance sheet dates and the reported amounts of revenues and expenses during the reporting periods. Actual results could materially differ from those estimates.</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The consolidated financial statements include the financial statements of the Company, its subsidiaries, the VIEs and VIEs’ subsidiaries. All significant transactions and balances between the Company, its subsidiaries, the VIEs and VIEs’ subsidiaries have been eliminated upon consolidation.</w:t>
      </w:r>
    </w:p>
    <w:p>
      <w:pPr>
        <w:spacing w:after="0" w:line="14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 has the power to appoint or remove the majority of the members of the board of directors; to cast a majority of votes at the meeting of the board of directors or to govern the financial and operating policies of the investee under a statute or agreement among the shareholders or equity holders.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applies the guidance codified in Accounting Standard Codification 810, Consolidations (“ASC 810”) on accounting for the VIEs and their respective subsidiaries, which requires certain variable interest entities to be consolidated by the primary beneficiary of the entity in which it has a controlling financial interest. 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The Company is considered as the primary beneficiary of the VIEs according to FASB ASC 810 and thus consolidates the financial statements of each of these entities under U.S. GAAP. The accompanying consolidated financial statements include the financial statements of the Company, its subsidiaries, the consolidated VIEs and the VIEs’ subsidiaries: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Company’s major VIEs and VIEs’ subsidiaries: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1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color w:val="auto"/>
              </w:rPr>
              <w:t>Name of major VIEs and their major subsidiaries</w:t>
            </w:r>
          </w:p>
        </w:tc>
        <w:tc>
          <w:tcPr>
            <w:tcW w:w="120" w:type="dxa"/>
            <w:vAlign w:val="bottom"/>
          </w:tcPr>
          <w:p>
            <w:pPr>
              <w:spacing w:after="0"/>
              <w:rPr>
                <w:sz w:val="16"/>
                <w:szCs w:val="16"/>
                <w:color w:val="auto"/>
              </w:rPr>
            </w:pPr>
          </w:p>
        </w:tc>
        <w:tc>
          <w:tcPr>
            <w:tcW w:w="37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color w:val="auto"/>
              </w:rPr>
              <w:t>Date of establishment</w:t>
            </w:r>
          </w:p>
        </w:tc>
      </w:tr>
      <w:tr>
        <w:trPr>
          <w:trHeight w:val="26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Shanghai Ctrip Commerce Co., Ltd., (“Ctrip Commerce”)</w:t>
            </w: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Established on July 18, 2000</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Shanghai Huacheng Southwest International Travel Agency Co., Ltd., (“Shanghai Huacheng”, a</w:t>
            </w: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Established on March 13, 2001</w:t>
            </w: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subsidiary of Ctrip Commerce)</w:t>
            </w:r>
          </w:p>
        </w:tc>
        <w:tc>
          <w:tcPr>
            <w:tcW w:w="12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32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Beijing Qu Na Information Technology Co., Ltd., (“Qunar Beijing”)</w:t>
            </w: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Established on March 17, 2006</w:t>
            </w:r>
          </w:p>
        </w:tc>
      </w:tr>
      <w:tr>
        <w:trPr>
          <w:trHeight w:val="32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Chengdu Ctrip Travel Agency Co., Ltd., (“Chengdu Ctrip”) (Note i)</w:t>
            </w: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Established on January 8, 2007</w:t>
            </w:r>
          </w:p>
        </w:tc>
      </w:tr>
      <w:tr>
        <w:trPr>
          <w:trHeight w:val="365"/>
        </w:trPr>
        <w:tc>
          <w:tcPr>
            <w:tcW w:w="71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F-11</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Note i: In December 2024, the Company terminated the contractual arrangements and acquired the equity interest of Chengdu Ctrip, which became a wholly-owned subsidiary of the Company.</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is considered the primary beneficiary of each of the VIEs and the VIEs’ subsidiaries, as defined above, and has consolidated the financial statements of each under U.S. GAAP.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Major VIEs and their subsidiaries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conducts a part of its operations through a series of agreements with certain VIEs and VIEs’ subsidiaries as stated above. These VIEs and VIEs’ subsidiaries are used solely to facilitate the Company’s participation in travel agency and value-added telecommunications businesses in the People’s Republic of China (“PRC”). From 2015, the Company restructured its business lines to change some of the VIEs to its wholly owned subsidiaries, which carry out the businesses that are not foreign ownerships restricted.</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Ctrip Commerce is a domestic company incorporated in Shanghai, the PRC. Ctrip Commerce holds a telecommunications operation license and is primarily engaged in the provision of advertising business on the Internet website. One of the Company’s employees and one of the Company’s senior consultants collectively hold 100% of the equity interest in Ctrip Commerce. The registered capital of Ctrip Commerce was RMB900,000,000 as of December 31, 2025.</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Shanghai Huacheng is a domestic company incorporated in Shanghai, the PRC. Shanghai Huacheng holds a travel agency operation license and mainly provides domestic, inbound and outbound tour services and air-ticketing services. Ctrip Commerce holds 100% of the equity interest in Shanghai Huacheng. The registered capital of Shanghai Huacheng was RMB100,000,000 as of December 31, 2025.</w:t>
      </w:r>
    </w:p>
    <w:p>
      <w:pPr>
        <w:spacing w:after="0" w:line="176"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Qunar Beijing is a domestic company incorporated in Beijing, the PRC. Qunar Beijing holds various licenses for domestic and cross-border business of Qunar Cayman Islands Limited (“Qunar”). Two employees of the Company hold 100% of the equity interests in Qunar Beijing. The registered capital of Qunar Beijing was RMB11,000,000 as of December 31, 2025.</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capital of the VIEs injected by some of our employees and senior consultants are funded by the Company and are recorded as long-term business loans to related parties, which are eliminated with registered capital of VIEs upon consolidation. The Company does not have any ownership interest in these VIEs and VIEs’ subsidiaries.</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various agreements with the consolidated VIEs and VIEs’ subsidiaries, including loan agreements, exclusive technical consulting and services agreements, equity pledge agreements, exclusive option agreements and other operating agreements which result in the Company being the primary beneficiary of each entity and which provides the basis for consolidation of the financial statements of each VIE pursuant to ASC 810.</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Details of certain key agreements with the major VIEs are as follows:</w:t>
      </w:r>
    </w:p>
    <w:p>
      <w:pPr>
        <w:spacing w:after="0" w:line="117"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Powers of Attorney: </w:t>
      </w:r>
      <w:r>
        <w:rPr>
          <w:rFonts w:ascii="Times New Roman" w:cs="Times New Roman" w:eastAsia="Times New Roman" w:hAnsi="Times New Roman"/>
          <w:sz w:val="18"/>
          <w:szCs w:val="18"/>
          <w:color w:val="auto"/>
        </w:rPr>
        <w:t>The shareholders of Ctrip Commerce (VIE) signed an irrevocable power of attorney to appoint Ctrip Travel Network,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attorney-in-fact to vote, by itself or any other person to be designated at its discretion, on all matters of Ctrip Commerce (VIE). Each such power of attorney will remain effective as long as Ctrip Commerce (VIE) exists, and such shareholders of Ctrip Commerce (VIE) are not entitled to terminate or amend the terms of the power of attorneys without prior written consent from the Company.</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each of the shareholders of Qunar Beijing (VIE) also signed an irrevocable power of attorney authorizing an appointee, to exercise, in a manner approved by Qunar, on such shareholder’s behalf the full shareholder rights pursuant to applicable laws and Qunar Beijing (VIE)’s articles of association, including without limitation full voting rights and the right to sell or transfer any or all of such shareholder’s equity interest in Qunar Beijing (VIE). Each such power of attorney is effective until such time as such shareholder ceases to hold any equity interest in Qunar Beijing (VIE). The terms of the power of attorney with respect to Qunar Beijing (VIE) are substantially similar to the terms described in the foregoing paragraph.</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Technical Consulting and Services Agreements: </w:t>
      </w:r>
      <w:r>
        <w:rPr>
          <w:rFonts w:ascii="Times New Roman" w:cs="Times New Roman" w:eastAsia="Times New Roman" w:hAnsi="Times New Roman"/>
          <w:sz w:val="18"/>
          <w:szCs w:val="18"/>
          <w:color w:val="auto"/>
        </w:rPr>
        <w:t>Ctrip Travel Network, a wholly owned PRC subsidiary of the Company, provides Ctrip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Commerce (VIE) with technical consulting and related services and staff training and information services on an exclusive basis. The Company also maintain its network platforms. In consideration for the Company’s services, Ctrip Commerce (VIE) agrees to pay the Company service fees as calculated in such manner as determined by the Company from time to time based on the nature of service, which may be adjusted periodically. Although the service fees are typically determined based on the number of transportation tickets sold, given the fact that the nominee shareholders of Ctrip Commerce (VIE) have irrevocably appointed a designated person to vote on their behalf on all matters they are entitled to vote on, the Company has the right to determine the level of service fees paid and therefore receive substantially all of the economic benefits of the VIEs in the form of service fees. Ctrip Travel Network, will exclusively own any intellectual property rights arising from the performance of this agreement. The initial term of these agreements is 10 years and may be renewed automatically in 10-year terms unless the Company disapproves the extension. The Company retains the exclusive right to terminate the agreements at any time by delivering a 30-day advance written notice to the applicable VIE.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82"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pursuant to the restated exclusive technical consulting and services agreement between Qunar Beijing (VIE) and Qunar Software, Qunar Software provides Qunar Beijing (VIE) with technical, marketing and management consulting services on an exclusive basis in exchange for service fee paid by Qunar Beijing (VIE) based on a set formula defined in the agreement subject to adjustment by Qunar Software at its sole discretion. This agreement will remain in effect until terminated unilaterally by Qunar Software or mutually. The terms of this agreement are substantially similar to the terms described in the foregoing paragraph.</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Pledge Agreements: </w:t>
      </w:r>
      <w:r>
        <w:rPr>
          <w:rFonts w:ascii="Times New Roman" w:cs="Times New Roman" w:eastAsia="Times New Roman" w:hAnsi="Times New Roman"/>
          <w:sz w:val="18"/>
          <w:szCs w:val="18"/>
          <w:color w:val="auto"/>
        </w:rPr>
        <w:t>The shareholders of Ctrip Commerce (VIE) have pledged their respective equity interests in Ctrip Commerce (VIE)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guarantee for the performance of all the obligations under the other contractual arrangements, including payment by Ctrip Commerce (VIE) of the technical and consulting services fees to the Company under the technical consulting and services agreements, repayment of the business loan under the loan agreements and performance of obligations under the exclusive option agreements, each agreement as described herein. This agreement is valid and binding on the parties, their heirs, successors and permitted assignees. In the event Ctrip Commerce (VIE) breaches any of its obligations or any shareholder of Ctrip Commerce (VIE) breaches his or her obligations, as the case may be, under these agreements, the Company is entitled to enforce the equity pledge right and sell or otherwise dispose of the pledged equity interests, and have priority in receiving payment from proceeds from the auction or sale of all or part of the pledge until the obligations are settled. The pledge has been established upon registration with the local branch of the PRC State Administration for Market Regulation (“SAMR”), and will expire two years after the pledgor and Ctrip Commerce (VIE) no longer undertake any obligations under the above-referenced agreements.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pursuant to the equity interest pledge agreement among Qunar Software and the shareholders of Qunar Beijing (VIE), the shareholders of Qunar Beijing (VIE) have pledged their equity interests in Qunar Beijing (VIE) along with all rights, titles and interests to Qunar Software as guarantee for the performance of all obligations under the contractual arrangements mentioned herein. This agreement is valid and binding on the pledgors and each of their successors, and is valid on the pledgee and its successors and assignees. Qunar Software may enforce this pledge upon the occurrence of a settlement event or as required by the PRC law. The pledge has been established upon registration with the local branch of the SAMR, and will expire when all obligations under the contractual arrangements have been satisfied. In enforcing the pledge, Qunar Software is entitled to dispose of the pledge and have priority in receiving payment from proceeds from the auction or sale of all or part of the pledge until the obligations are settled. The terms of this agreement are substantially similar to the terms described in the foregoing paragraph.</w:t>
      </w:r>
    </w:p>
    <w:p>
      <w:pPr>
        <w:spacing w:after="0" w:line="188"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Loan Agreements: </w:t>
      </w:r>
      <w:r>
        <w:rPr>
          <w:rFonts w:ascii="Times New Roman" w:cs="Times New Roman" w:eastAsia="Times New Roman" w:hAnsi="Times New Roman"/>
          <w:sz w:val="17"/>
          <w:szCs w:val="17"/>
          <w:color w:val="auto"/>
        </w:rPr>
        <w:t>Under the loan agreements the Company entered into with the shareholders of Ctrip Commerce (VIE) the Company extended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long-term business loans to the shareholders of Ctrip Commerce (VIE) with the sole purpose of providing funds necessary for the capitalization or acquisition of Ctrip Commerce (VIE). These business loan amounts were injected into Ctrip Commerce (VIE) as capital and cannot be accessed for any personal uses. The initial term of the loan agreements is 10 years and may be renewed automatically in 10-year terms unless the Company disapprove the extension by written notice in advance. The loan agreements will remain effective until the parties have fully performed their respective obligations under the agreement, and the shareholders of Ctrip Commerce (VIE) have no right to unilaterally terminate these agreements or repay the loan in advance. The loan agreements are valid and binding on the parties, their successors and permitted assignees. In the event that the PRC government lifts its restrictions on foreign ownership of the value-added telecommunications business in China, as applicable, the Company will exercise its exclusive option to purchase all of the outstanding equity interests of Ctrip Commerce (VIE), as described in the following paragraph, and the loan agreements will be canceled in connection with such purchase. However, it is uncertain when, if at all, the PRC government will lift any or all of these restrictions.</w:t>
      </w:r>
    </w:p>
    <w:p>
      <w:pPr>
        <w:spacing w:after="0" w:line="17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pursuant to the loan agreement among Qunar Software and the shareholders of Qunar Beijing (VIE), the loans extended by Qunar Software to the shareholders of Qunar Beijing (VIE) are only repayable by a transfer of such borrower’s equity interest in Qunar Beijing (VIE) to Qunar Software or its designated party, in proportion to the amount of the loan to be repaid. This loan agreement will continue in effect indefinitely until such time when (i) the borrowers receive a repayment notice from Qunar Software and fully repay the loans, or (ii) an event of default (as defined therein) occurs unless Qunar Software sends a notice indicating otherwise within 15 calendar days after it is aware of such event. The loan agreements are valid and binding on the parties, their successors and permitted assignees. The terms of this loan agreement are substantially similar to the terms described in the foregoing paragraphs.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82"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Exclusive Option Agreements: </w:t>
      </w:r>
      <w:r>
        <w:rPr>
          <w:rFonts w:ascii="Times New Roman" w:cs="Times New Roman" w:eastAsia="Times New Roman" w:hAnsi="Times New Roman"/>
          <w:sz w:val="18"/>
          <w:szCs w:val="18"/>
          <w:color w:val="auto"/>
        </w:rPr>
        <w:t>As consideration for the Company’s entering into the loan agreements described above, each of the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Ctrip Commerce (VIE) has granted the Company an exclusive, irrevocable option to purchase, or designate one or more person(s) at the Company’s discretion to purchase, all of its equity interests in Ctrip Commerce (VIE) at any time the Company desires, subject to compliance with the applicable PRC laws and regulations. The Company may exercise the option by issuing a written notice to the shareholder of Ctrip Commerce (VIE). Subject to the evaluation requirements or other restrictions imposed by applicable PRC laws and regulations, the purchase price should be equal to the contribution actually made by the shareholder for the equity interest. Therefore, if the Company exercises these options, the Company may choose to cancel the outstanding loans the Company extended to the shareholders of Ctrip Commerce (VIE) pursuant to the loan agreements as the loans were used solely for equity contribution purposes. The initial term of these agreements is 10 years and may be renewed automatically in 10-year terms unless the Company disapproves the extension. This agreement is valid and binding on the parties, their heirs, successors and permitted assignees. The Company retains the exclusive right to terminate the agreements at any time by delivering a written notice to the shareholder of Ctrip Commerce (VIE).</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Each of the shareholders of Qunar Beijing (VIE) also entered into an equity option agreement with Qunar, Qunar Software and Qunar Beijing (VIE). This equity option agreement contains arrangements that are similar to that as described in the foregoing paragraph for Ctrip Commerce (VIE). This agreement will remain effective with respect to each of Qunar Beijing (VIE)’s shareholders until all of the equity interest has been transferred or Qunar and Qunar Software terminates the agreement unilaterally with 30 days’ prior written notice. This agreement is valid and binding on the parties, their successors and permitted assignees.</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VIEs and their shareholders agree not to enter into any transaction that would affect the assets, obligations, rights or operations of the VIEs without the Company’s prior written consent. They also agree to accept the Company’s guidance with respect to day-to-day operations, financial management systems and the appointment and dismissal of key employees.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contractual arrangements between the Company’s PRC subsidiaries and VIEs:</w:t>
      </w:r>
    </w:p>
    <w:p>
      <w:pPr>
        <w:spacing w:after="0" w:line="121"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The Company has been advised by Commerce &amp; Finance Law Offices, its PRC legal counsel, that its contractual arrangements with its consolidated VIEs as described in the Company’s annual report are valid, binding and enforceable under the current laws and regulations of China. Based on such legal opinion and the management’s knowledge and experience, the Company believes that its contractual arrangements with its consolidated VIEs are in compliance with current PRC laws and legally enforceable. However, there may be in the event that the VIEs and their respective shareholders fail to perform their contractual obligations, the Company may have to rely on the PRC legal system to enforce its rights. The PRC legal system is based on written statutes. Prior court decisions may be cited for reference but have limited precedential value. The PRC laws and regulations have significantly enhanced protections afforded to various forms of the foreign investments in China for the past decades. However, many laws, regulations, and rules are subject to interpretation and clarification. Moreover, because these laws, regulations, and standards are subject to interpretations, their application in practice may evolve over time as new guidance becomes available. Due to the uncertainties with respect to the PRC legal system, the PRC government authorities may ultimately take a view contrary to the opinion of its PRC legal counsel with respect to the enforceability of the contractual arrangements.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There are, however, uncertainties regarding the interpretation and application of current or future PRC laws and regulations. Accordingly, the Company cannot be assured that the PRC government authorities will not ultimately take a view that is contrary to the Company’s belief and the opinion of its PRC legal counsel. The Foreign Investment Law of the PRC and its implementation rules, effective since January 1, 2020, repealed simultaneously the Wholly Foreign-owned Enterprise Law of the PRC, Sino-foreign Equity Joint Venture Law of the PRC and Sino-foreign Cooperative Joint Ventures Law of the PRC. Therefore, the general regulations for companies’ set up and operation in the PRC including the foreign-invested companies shall comply with the Company Law of the PRC unless provided in the PRC Foreign Investment Laws. The Foreign Investment Law does not touch upon the relevant concepts and regulatory regimes that were historically suggested for the regulation of VIE structures, and thus this regulatory topic remains unclear under the Foreign Investment Law. Therefore, uncertainties with respect to its implementation and interpretation exist, and it is also possible that the VIE entities will be deemed as foreign-invested enterprises and be subject to restrictions in the future. Such restrictions may cause interruptions to our operations and may incur additional compliance cost, which may in turn materially and adversely affect our business, financial condition, and results of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82"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information of the Company’s VIEs in the consolidated financial statements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the contractual arrangements with the VIEs, the Company has the power to direct activities of the VIEs, and can have assets transferred freely out of the VIEs without any restrictions. Therefore, the Company considers that there is no asset of a consolidated VIE that can be used only to settle obligations of the VIE, except for registered capital and PRC statutory reserves of the VIEs amounting to a total of RMB1.5 billion as of December 31, 2025. As all the consolidated VIEs are incorporated as limited liability companies under the PRC Company Law, creditors of the VIEs do not have recourse to the general credit of the Company for any of the liabilities of the consolidated VIEs.</w:t>
      </w:r>
    </w:p>
    <w:p>
      <w:pPr>
        <w:spacing w:after="0" w:line="183"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Summary of selected financial information of the VIEs, which represents aggregated financial information of the VIEs and their respective subsidiaries included in the accompanying consolidated financial statements, is as follows (RMB in millions):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70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2"/>
                <w:szCs w:val="12"/>
                <w:color w:val="auto"/>
              </w:rPr>
            </w:pPr>
          </w:p>
        </w:tc>
      </w:tr>
      <w:tr>
        <w:trPr>
          <w:trHeight w:val="183"/>
        </w:trPr>
        <w:tc>
          <w:tcPr>
            <w:tcW w:w="70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Selected Balance Sheets Data of the VIEs</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2,740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80" w:type="dxa"/>
            <w:vAlign w:val="bottom"/>
          </w:tcPr>
          <w:p>
            <w:pPr>
              <w:spacing w:after="0"/>
              <w:rPr>
                <w:sz w:val="17"/>
                <w:szCs w:val="17"/>
                <w:color w:val="auto"/>
              </w:rPr>
            </w:pPr>
          </w:p>
        </w:tc>
      </w:tr>
      <w:tr>
        <w:trPr>
          <w:trHeight w:val="20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2,390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80" w:type="dxa"/>
            <w:vAlign w:val="bottom"/>
          </w:tcPr>
          <w:p>
            <w:pPr>
              <w:spacing w:after="0"/>
              <w:rPr>
                <w:sz w:val="17"/>
                <w:szCs w:val="17"/>
                <w:color w:val="auto"/>
              </w:rPr>
            </w:pPr>
          </w:p>
        </w:tc>
      </w:tr>
      <w:tr>
        <w:trPr>
          <w:trHeight w:val="20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1,114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8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2,346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80" w:type="dxa"/>
            <w:vAlign w:val="bottom"/>
          </w:tcPr>
          <w:p>
            <w:pPr>
              <w:spacing w:after="0"/>
              <w:rPr>
                <w:sz w:val="17"/>
                <w:szCs w:val="17"/>
                <w:color w:val="auto"/>
              </w:rPr>
            </w:pPr>
          </w:p>
        </w:tc>
      </w:tr>
      <w:tr>
        <w:trPr>
          <w:trHeight w:val="20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(non-current)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1,903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8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20,089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22,548</w:t>
            </w:r>
          </w:p>
        </w:tc>
        <w:tc>
          <w:tcPr>
            <w:tcW w:w="80" w:type="dxa"/>
            <w:vAlign w:val="bottom"/>
          </w:tcPr>
          <w:p>
            <w:pPr>
              <w:spacing w:after="0"/>
              <w:rPr>
                <w:sz w:val="17"/>
                <w:szCs w:val="17"/>
                <w:color w:val="auto"/>
              </w:rPr>
            </w:pPr>
          </w:p>
        </w:tc>
      </w:tr>
      <w:tr>
        <w:trPr>
          <w:trHeight w:val="20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Inter-company receivables (Note i)</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(8,567)</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(9,747)</w:t>
            </w: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 excluding inter-company receivables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11,522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12,801</w:t>
            </w:r>
          </w:p>
        </w:tc>
        <w:tc>
          <w:tcPr>
            <w:tcW w:w="80" w:type="dxa"/>
            <w:vAlign w:val="bottom"/>
          </w:tcPr>
          <w:p>
            <w:pPr>
              <w:spacing w:after="0"/>
              <w:rPr>
                <w:sz w:val="17"/>
                <w:szCs w:val="17"/>
                <w:color w:val="auto"/>
              </w:rPr>
            </w:pPr>
          </w:p>
        </w:tc>
      </w:tr>
      <w:tr>
        <w:trPr>
          <w:trHeight w:val="20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debt and current portion of long-term debt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3,535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8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1,715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80" w:type="dxa"/>
            <w:vAlign w:val="bottom"/>
          </w:tcPr>
          <w:p>
            <w:pPr>
              <w:spacing w:after="0"/>
              <w:rPr>
                <w:sz w:val="17"/>
                <w:szCs w:val="17"/>
                <w:color w:val="auto"/>
              </w:rPr>
            </w:pPr>
          </w:p>
        </w:tc>
      </w:tr>
      <w:tr>
        <w:trPr>
          <w:trHeight w:val="20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Advances from customers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3,895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8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2,046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80" w:type="dxa"/>
            <w:vAlign w:val="bottom"/>
          </w:tcPr>
          <w:p>
            <w:pPr>
              <w:spacing w:after="0"/>
              <w:rPr>
                <w:sz w:val="17"/>
                <w:szCs w:val="17"/>
                <w:color w:val="auto"/>
              </w:rPr>
            </w:pPr>
          </w:p>
        </w:tc>
      </w:tr>
      <w:tr>
        <w:trPr>
          <w:trHeight w:val="20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19,362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21,363</w:t>
            </w:r>
          </w:p>
        </w:tc>
        <w:tc>
          <w:tcPr>
            <w:tcW w:w="8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Less: Inter-company payables (Note ii)</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(7,325)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(11,486)</w:t>
            </w:r>
          </w:p>
        </w:tc>
      </w:tr>
      <w:tr>
        <w:trPr>
          <w:trHeight w:val="20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excluding inter-company payables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12,037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9,877</w:t>
            </w:r>
          </w:p>
        </w:tc>
        <w:tc>
          <w:tcPr>
            <w:tcW w:w="80" w:type="dxa"/>
            <w:vAlign w:val="bottom"/>
            <w:shd w:val="clear" w:color="auto" w:fill="CCEEFF"/>
          </w:tcPr>
          <w:p>
            <w:pPr>
              <w:spacing w:after="0"/>
              <w:rPr>
                <w:sz w:val="17"/>
                <w:szCs w:val="17"/>
                <w:color w:val="auto"/>
              </w:rPr>
            </w:pPr>
          </w:p>
        </w:tc>
      </w:tr>
    </w:tbl>
    <w:p>
      <w:pPr>
        <w:spacing w:after="0" w:line="218" w:lineRule="exact"/>
        <w:rPr>
          <w:sz w:val="20"/>
          <w:szCs w:val="20"/>
          <w:color w:val="auto"/>
        </w:rPr>
      </w:pPr>
    </w:p>
    <w:p>
      <w:pPr>
        <w:ind w:left="1440" w:right="1520"/>
        <w:spacing w:after="0" w:line="234" w:lineRule="auto"/>
        <w:rPr>
          <w:sz w:val="20"/>
          <w:szCs w:val="20"/>
          <w:color w:val="auto"/>
        </w:rPr>
      </w:pPr>
      <w:r>
        <w:rPr>
          <w:rFonts w:ascii="Times New Roman" w:cs="Times New Roman" w:eastAsia="Times New Roman" w:hAnsi="Times New Roman"/>
          <w:sz w:val="14"/>
          <w:szCs w:val="14"/>
          <w:i w:val="1"/>
          <w:iCs w:val="1"/>
          <w:color w:val="auto"/>
        </w:rPr>
        <w:t>Note i :The inter-company receivables as of December 31, 2024 and 2025 mainly represented the receivables of VIEs due from the Company’s wholly-owned subsidiaries for treasury cash management purpose.</w:t>
      </w:r>
    </w:p>
    <w:p>
      <w:pPr>
        <w:spacing w:after="0" w:line="1" w:lineRule="exact"/>
        <w:rPr>
          <w:sz w:val="20"/>
          <w:szCs w:val="20"/>
          <w:color w:val="auto"/>
        </w:rPr>
      </w:pPr>
    </w:p>
    <w:p>
      <w:pPr>
        <w:ind w:left="1440" w:right="1620"/>
        <w:spacing w:after="0" w:line="239" w:lineRule="auto"/>
        <w:rPr>
          <w:sz w:val="20"/>
          <w:szCs w:val="20"/>
          <w:color w:val="auto"/>
        </w:rPr>
      </w:pPr>
      <w:r>
        <w:rPr>
          <w:rFonts w:ascii="Times New Roman" w:cs="Times New Roman" w:eastAsia="Times New Roman" w:hAnsi="Times New Roman"/>
          <w:sz w:val="14"/>
          <w:szCs w:val="14"/>
          <w:i w:val="1"/>
          <w:iCs w:val="1"/>
          <w:color w:val="auto"/>
        </w:rPr>
        <w:t>Note ii : The inter-company payables as of December 31, 2024 and 2025 mainly represented payables of VIEs due to the Company’s wholly-owned subsidiaries for treasury cash management purpose.</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summary of results of operations of the VIEs and their subsidiaries (RMB in millions):</w:t>
      </w:r>
    </w:p>
    <w:p>
      <w:pPr>
        <w:spacing w:after="0" w:line="24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6720" w:type="dxa"/>
            <w:vAlign w:val="bottom"/>
          </w:tcPr>
          <w:p>
            <w:pPr>
              <w:spacing w:after="0"/>
              <w:rPr>
                <w:sz w:val="12"/>
                <w:szCs w:val="12"/>
                <w:color w:val="auto"/>
              </w:rPr>
            </w:pPr>
          </w:p>
        </w:tc>
        <w:tc>
          <w:tcPr>
            <w:tcW w:w="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0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740" w:type="dxa"/>
            <w:vAlign w:val="bottom"/>
            <w:tcBorders>
              <w:top w:val="single" w:sz="8" w:color="auto"/>
            </w:tcBorders>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5"/>
              </w:rPr>
              <w:t>   2024 </w:t>
            </w:r>
          </w:p>
        </w:tc>
        <w:tc>
          <w:tcPr>
            <w:tcW w:w="980" w:type="dxa"/>
            <w:vAlign w:val="bottom"/>
            <w:tcBorders>
              <w:top w:val="single" w:sz="8" w:color="auto"/>
            </w:tcBorders>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   2025 </w:t>
            </w:r>
          </w:p>
        </w:tc>
        <w:tc>
          <w:tcPr>
            <w:tcW w:w="40" w:type="dxa"/>
            <w:vAlign w:val="bottom"/>
          </w:tcPr>
          <w:p>
            <w:pPr>
              <w:spacing w:after="0"/>
              <w:rPr>
                <w:sz w:val="12"/>
                <w:szCs w:val="12"/>
                <w:color w:val="auto"/>
              </w:rPr>
            </w:pPr>
          </w:p>
        </w:tc>
      </w:tr>
      <w:tr>
        <w:trPr>
          <w:trHeight w:val="196"/>
        </w:trPr>
        <w:tc>
          <w:tcPr>
            <w:tcW w:w="6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10,050</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11,780</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11,615</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6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5,118</w:t>
            </w:r>
          </w:p>
        </w:tc>
        <w:tc>
          <w:tcPr>
            <w:tcW w:w="2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40" w:type="dxa"/>
            <w:vAlign w:val="bottom"/>
          </w:tcPr>
          <w:p>
            <w:pPr>
              <w:spacing w:after="0"/>
              <w:rPr>
                <w:sz w:val="17"/>
                <w:szCs w:val="17"/>
                <w:color w:val="auto"/>
              </w:rPr>
            </w:pPr>
          </w:p>
        </w:tc>
      </w:tr>
      <w:tr>
        <w:trPr>
          <w:trHeight w:val="203"/>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(loss)/income</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4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Net revenues from VIEs accounted for around 23%, 22% and 19% of the Company’s net revenues for the years ended December 31, 2023, 2024 and 2025, respectively.</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VIEs’ net income before the deduction of the inter-company service fee charges were RMB3.3 billion, RMB4.4 billion and RMB3.9 billion for the years ended December 31, 2023, 2024 and 2025, respectively.</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amount of service fees paid by all the VIEs to the primary beneficiaries of the VIEs pursuant to the exclusive technical consulting and service agreements between VIEs and primary beneficiaries of the VIEs were RMB4.3 billion, RMB4.0 billion and RMB3.5 billion for the years ended December 31, 2023, 2024 and 2025,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set forth the summary of cash flow activities of the VIEs and their subsidiaries (RMB in millions):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40" w:type="dxa"/>
            <w:vAlign w:val="bottom"/>
          </w:tcPr>
          <w:p>
            <w:pPr>
              <w:spacing w:after="0"/>
              <w:rPr>
                <w:sz w:val="15"/>
                <w:szCs w:val="15"/>
                <w:color w:val="auto"/>
              </w:rPr>
            </w:pPr>
          </w:p>
        </w:tc>
        <w:tc>
          <w:tcPr>
            <w:tcW w:w="22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87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r>
      <w:tr>
        <w:trPr>
          <w:trHeight w:val="19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7"/>
                <w:szCs w:val="17"/>
                <w:color w:val="auto"/>
              </w:rPr>
            </w:pPr>
          </w:p>
        </w:tc>
      </w:tr>
      <w:tr>
        <w:trPr>
          <w:trHeight w:val="202"/>
        </w:trPr>
        <w:tc>
          <w:tcPr>
            <w:tcW w:w="8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investing activities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(1,779)</w:t>
            </w:r>
          </w:p>
        </w:tc>
      </w:tr>
      <w:tr>
        <w:trPr>
          <w:trHeight w:val="203"/>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in)/provided by financing activities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(1,182)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(926)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shd w:val="clear" w:color="auto" w:fill="CCEEFF"/>
          </w:tcPr>
          <w:p>
            <w:pPr>
              <w:spacing w:after="0"/>
              <w:rPr>
                <w:sz w:val="17"/>
                <w:szCs w:val="17"/>
                <w:color w:val="auto"/>
              </w:rPr>
            </w:pPr>
          </w:p>
        </w:tc>
      </w:tr>
    </w:tbl>
    <w:p>
      <w:pPr>
        <w:spacing w:after="0" w:line="130" w:lineRule="exact"/>
        <w:rPr>
          <w:sz w:val="20"/>
          <w:szCs w:val="20"/>
          <w:color w:val="auto"/>
        </w:rPr>
      </w:pPr>
    </w:p>
    <w:p>
      <w:pPr>
        <w:sectPr>
          <w:pgSz w:w="11900" w:h="16838" w:orient="portrait"/>
          <w:cols w:equalWidth="0" w:num="1">
            <w:col w:w="11140"/>
          </w:cols>
          <w:pgMar w:left="320" w:top="482"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1140"/>
          </w:cols>
          <w:pgMar w:left="320" w:top="482" w:right="43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Currently there is no contractual arrangement that could require the Company to provide additional financial support to the consolidated VIEs. As the Company is conducting certain business in the PRC mainly through the VIEs, the Company may provide such support on a discretionary basis in the future, which could expose the Company to a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Company’s reporting currency is RMB. The Company’s functional currency is US$. The Company’s operations are conducted through the subsidiaries and VIEs where the local currency is the functional currency and the financial statements of those subsidiaries are translated from their respective functional currencies into RMB.</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functional currencies are remeasured at the exchange rates prevailing at the dates of the transaction for the Company’s subsidiaries respectively. Gains and losses resulting from foreign currency transactions are included in the consolidated statements of income and comprehensive income. Monetary assets and liabilities denominated in foreign currencies are remeasured using the applicable exchange rates at the balance sheet dates. All such exchange gains and losses are included in the consolidated statements of income and comprehensive income.</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Assets and liabilities of the group companies are translated from their respective functional currencies to the reporting currency at the exchange rates at the balance sheet dates, equity accounts are translated at historical exchange rates and revenues and expenses are translated at the average exchange rates in effect during the reporting periods. The exchange differences for the translation of group companies with non-RMB functional currency into the RMB are included in foreign currency translation adjustments, which is a separate component of shareholders’ equity on the consolidated financial statements. The foreign currency translation adjustments are not subject to tax.</w:t>
      </w:r>
    </w:p>
    <w:p>
      <w:pPr>
        <w:spacing w:after="0" w:line="1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Translations of amounts from RMB into US$ are unaudited and solely for the convenience of the reader and were calculated at the rate of</w:t>
      </w:r>
    </w:p>
    <w:p>
      <w:pPr>
        <w:spacing w:after="0" w:line="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US$1.00 = RMB6.9931 on December 31, 2025, representing the certified exchange rate published by the Federal Reserve Board. No representation is intended to imply that the RMB amounts could have been, or could be, converted, realized or settled in US$ at that rate on December 31, 2025, or at any other rate.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Cash includes currency on hand and deposits held by financial institutions that can be added to or withdrawn without limitation. Cash equivalents represent short-term, highly liquid investments that are readily convertible to known amounts of cash and with original maturities from the date of purchase of generally three months or less.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that cannot be withdrawn without the permission of third parties. The Company’s restricted cash is substantially a cash balance on deposit required by its business partners and commercial banks.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Short-term investments represent i) held-to-maturity investments which are due in one year and stated at amortized cost (i.e., time deposits); ii) the investments issued by commercial banks or other financial institutions with a variable interest rate indexed to the performance of underlying assets within one year measured at fair value (i.e., financial products), and iii) foreign currency forward contracts measured at fair value which are short-term. Changes in the fair value are reflected in the consolidated statements of income and comprehensive income.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derivative instruments primarily consisted of foreign currency forward contracts and interest rate swap contracts. The fair values of the derivative instruments generally represent the estimated amounts expect to receive or pay upon termination of the contracts as of the reporting date. The foreign currency forward contracts are used to economically hedge certain foreign denominated liabilities and reduce, to the extent practicable, the potential exposure to the changes that exchange rates might have on the Company’s earnings, cash flows and financial position. The interest rate swap contracts are used to swap floating interest payments related to certain borrowings for fixed interest payments to hedge the interest rate risk associated with certain forecasted payments and obligations. As the derivative instruments of foreign currency forward contracts and interest rate swap contracts do not qualify for hedge accounting treatment, changes in the fair value are reflected in Other (expense)/income of the consolidated statements of income and comprehensive income.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and for the years ended December 31, 2023, 2024 and 2025, the balance of the derivative instruments and the total amount of fair value changes are not material.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Installment credit and nonrecourse securitization debt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provides installment credit solutions to users with the terms generally below one year. Such amounts are recorded at the outstanding principal amount less allowance for credit losses, and include accrued interest receivable and presented in receivable related to financial services in Note 3.</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Since 2018, the Company started to enter into asset backed securitization arrangements with third-party financial institutions and set up a securitization vehicle as servicer to issue the revolving debt securities to third party investors. The debt securities are collateralized by the loans due from the users transferred to the securitization vehicles. The Company consolidated the servicer of the securitized debt since economic interests are retained in the form of subordinated interests and it acts as the servicer of securitization vehicles. Therefore, the proceeds from the issuance of debt securities are reported as securitization debt, and the transferred collateralized receivable remain on the Company’s financial statements. The securitization debt is repaid when the collections of the underlying collateralized receivable occur and is reported in “short-term debt and current portion of long-term debt” (Note 12) or “long-term debt” (Note 17) according to the expected repayment dates of the debt securities.</w:t>
      </w:r>
    </w:p>
    <w:p>
      <w:pPr>
        <w:spacing w:after="0" w:line="189"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and 2025, out of the total receivables due from the users, the collateralized receivable for the debt securities were RMB2.6 billion and RMB2.9 billion, respectively, and the non-collateralized receivables (receivables which have not been transferred to the securitization vehicles) were RMB3.1 billion and RMB4.5 billion, respectively.</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balance of allowance for expected credit losses for the receivable due from the users amounted to RMB303 million and RMB551 million, respectively. The Company recognized the interest income from the receivable related to financial services in Revenue – Other. The interest expenses in relation to the nonrecourse securitization debt were recognized in the cost of revenue. For the years ended December 31, 2023, 2024 and 2025, the interest incomes and the interest expenses were not material.</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gross amount of the loans provided to users is presented in the investing section of the cash flow statement unless the term of the receivables is three months or less, in which case it is presented on a net basis by deducting the repayment from the users.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Land use rights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Land use rights represent the prepayments for usage of the parcels of land where the office buildings are located, are recorded at cost, and are amortized over their respective lease periods (usually over 40 to 50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Property, equipment and software are stated at cost less accumulated depreciation and amortization. Depreciation and amortization are computed using the straight-line method over the following estimated useful lives, taking into account any estimated residual value:</w:t>
      </w:r>
    </w:p>
    <w:p>
      <w:pPr>
        <w:sectPr>
          <w:pgSz w:w="11900" w:h="16838" w:orient="portrait"/>
          <w:cols w:equalWidth="0" w:num="1">
            <w:col w:w="11120"/>
          </w:cols>
          <w:pgMar w:left="320" w:top="482" w:right="459" w:bottom="1440" w:gutter="0" w:footer="0" w:header="0"/>
        </w:sectPr>
      </w:pP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Building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Website-related equipment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Computer equipment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Software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20-40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Lesser of the term of the lease or the estimated useful lives of the assets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 years</w:t>
      </w:r>
    </w:p>
    <w:p>
      <w:pPr>
        <w:spacing w:after="0" w:line="200" w:lineRule="exact"/>
        <w:rPr>
          <w:sz w:val="20"/>
          <w:szCs w:val="20"/>
          <w:color w:val="auto"/>
        </w:rPr>
      </w:pPr>
    </w:p>
    <w:p>
      <w:pPr>
        <w:sectPr>
          <w:pgSz w:w="11900" w:h="16838" w:orient="portrait"/>
          <w:cols w:equalWidth="0" w:num="2">
            <w:col w:w="5140" w:space="720"/>
            <w:col w:w="5260"/>
          </w:cols>
          <w:pgMar w:left="320" w:top="482" w:right="45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recognizes the disposal of Property, equipment and software in general and administrative expenses.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Company’s investments include equity method investments, equity securities without readily determinable fair values, equity securities with readily determinable fair values, held to maturity debt securities, and available-for-sale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82" w:right="45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Company applies equity method in accounting for its investments in entities in which the Company has the ability to exercise significant influence but does not have control and the investments are in either common stock or in-substance common stock. Unrealized gains on transactions between the Company and an affiliated entity are eliminated to the extent of the Company’s interest in the affiliated entity, unrealized losses are also eliminated unless the transaction provides evidence of an impairment of the asset transferred.</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are measured and recorded using a measurement alternative that measures the securities at cost minus impairment, if any, plus or minus changes resulting from qualifying observable price changes.</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Equity securities with readily determinable fair values are measured and recorded at fair value on a recurring basis with changes in fair value, whether realized or unrealized, recorded through the income statement.</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Debt securities that the Company has positive intent and ability to hold to maturity are classified as held to maturity debt securities and are stated at amortized cost.</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Company has classified its investments in debt securities, other than the held to maturity debt securities, as available-for-sale securities. Available-for-sale debt securities are reported at estimated fair value (Note 7) with the aggregate unrealized gains and losses, net of tax, reflected in “Accumulated other comprehensive loss” in the consolidated balance sheets. If the amortized cost basis of an available-for-sale security exceeds its fair value and if the Company has the intention to sell the security or it is more likely than not that the Company will be required to sell the security before recovery of the amortized cost basis, an impairment is recognized in the consolidated statements of income and comprehensive income. If the Company does not have the intention to sell the security and it is not more likely than not that the Company will be required to sell the security before recovery of the amortized cost basis and the Company determines that the decline in fair value below the amortized cost basis of an available-for-sale security is entirely or partially due to credit-related factors, the credit loss is measured and recognized as an allowance for credit losses in the consolidated statements of income and comprehensive income. The allowance is measured as the amount by which the debt security’s amortized cost basis exceeds the Company’s best estimate of the present value of cash flows expected to be collected.</w:t>
      </w:r>
    </w:p>
    <w:p>
      <w:pPr>
        <w:spacing w:after="0" w:line="194"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Company monitors its investments for other-than-temporary impairment by considering factors including, but not limited to, current economic and market conditions, the operating performance of the companies including current earnings trends and other company-specific information.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of financial instruments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Financial assets and liabilities of the Company primarily comprise of cash and cash equivalents, restricted cash, time deposits, financial products, derivative instruments, accounts receivable, due from related parties, available-for-sale debt investments, equity securities, accounts payable, due to related parties, advances from end users, short-term bank borrowings, exchangeable senior notes, other short-term liabilities and long-term debts. As of December 31, 2024, and 2025, except for financial products, derivative instruments, exchangeable senior notes, long-term debts, listed equity securities and available-for-sale debt investments, carrying values of the financial instruments approximated their fair values because of their generally short maturities. The Company reports financial products, derivative instruments, exchangeable senior notes, listed equity securities and available-for-sale debt investments at fair value at each balance sheet date and changes in fair value are reflected in the statements of income and comprehensive income. The Company disclosed the fair value of its long-term debts based on Level 2 inputs in Note 17.</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measures its financial assets and liabilities using inputs from the following three levels of the fair value hierarchy. The three levels are as follows: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that the management has the ability to access at the measurement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Level 2 inputs include quoted prices for similar assets in active markets, quoted prices for identical or similar assets in markets that are not active, inputs other than quoted prices that are observable for the asset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Level 3 includes unobservable inputs that reflect the management’s assumptions about the assumptions that market participants would use in pricing the asset. The management develops these inputs based on the best information available, including the own data.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82"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U.S. GAAP requires that all business combinations not involving entities or businesses under common control be accounted for under the acquisition method. The Company applies ASC 805, “Business combinations”, the cost of an acquisition is measured as the aggregate of the fair values at the date of exchange of the assets given, liabilities incurred, and equity instruments issued.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the (i) the total of cost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in the consolidated statements of income and comprehensive income.</w:t>
      </w:r>
    </w:p>
    <w:p>
      <w:pPr>
        <w:spacing w:after="0" w:line="19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determination and allocation of fair values to the identifiable assets acquired and liabilities assumed is based on various assumptions and valuation methodologies requiring considerable management judgment. The most significant variables in these valuations are discount rates, terminal values, growth rates, the number of years on which to base the cash flow projections, as well as the assumptions and estimates used to determine the cash inflows and outflows. Management determines discount rates to be used based on the risk inherent in the related activity’s current business model and industry comparisons. Terminal values are based on the expected life of products and forecasted life cycle and forecasted cash flows over that period. The Company’s estimates of fair value are based upon assumptions believed to be reasonable, but which are inherently uncertain and unpredictable and, as a result, actual results may differ from estimates. Any changes to provisional amounts identified during the measurement period are recognized in the reporting period in which the adjustment amounts are determined.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July 2024, the Company consummated a step acquisition by purchasing additional shareholdings of an online platform focusing on accommodation reservation (the “acquiree”). The Company obtained the control of the acquiree following the step acquisition by obtaining the right to appoint majority of the board of directors. The total purchase consideration of RMB1,967 million which include cash consideration of RMB97 million and the fair value of previously held investments of RMB1,870 million. The Company recognized a net gain of RMB4 million in connection with the step acquisition and recorded the net gain in “Other (expense)/income” in the consolidated statement of income and comprehensive income for the year ended December 31, 2024.</w:t>
      </w:r>
    </w:p>
    <w:p>
      <w:pPr>
        <w:spacing w:after="0" w:line="187" w:lineRule="exact"/>
        <w:rPr>
          <w:sz w:val="20"/>
          <w:szCs w:val="20"/>
          <w:color w:val="auto"/>
        </w:rPr>
      </w:pPr>
    </w:p>
    <w:p>
      <w:pPr>
        <w:ind w:left="120" w:right="500" w:firstLine="440"/>
        <w:spacing w:after="0" w:line="257" w:lineRule="auto"/>
        <w:rPr>
          <w:sz w:val="20"/>
          <w:szCs w:val="20"/>
          <w:color w:val="auto"/>
        </w:rPr>
      </w:pPr>
      <w:r>
        <w:rPr>
          <w:rFonts w:ascii="Times New Roman" w:cs="Times New Roman" w:eastAsia="Times New Roman" w:hAnsi="Times New Roman"/>
          <w:sz w:val="18"/>
          <w:szCs w:val="18"/>
          <w:color w:val="auto"/>
        </w:rPr>
        <w:t>Other than the acquisition disclosed above, none of other acquisition occurred during the periods presented was individually material to our business or financial results. Other immaterial acquisitions in 2023, 2024 and 2025 with total consideration of RMB3.5 million, nil and RMB1,628 million respectively resulted in goodwill increase of nil, nil, and RMB1,303 million respectively, intangible assets increase of</w:t>
      </w:r>
    </w:p>
    <w:p>
      <w:pPr>
        <w:spacing w:after="0" w:line="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RMB2.6 million, nil and RMB283 million respectively, land use rights increase of nil, nil and RMB33 million respectively and property, equipment and software increase of nil, nil and RMB40 million respectively.</w:t>
      </w:r>
    </w:p>
    <w:p>
      <w:pPr>
        <w:spacing w:after="0" w:line="18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 forma results of operations for these acquisitions have not been presented because they are not material to the consolidated income statements for the years ended December 31, 2023, 2024 and 2025, either individually or in aggregate.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assets and liabilities acquired as a result of the Company’s acquisitions of interests in its subsidiaries and consolidated VIEs.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Goodwill is not amortized but is reviewed at least annually for impairment or earlier. The Company may first assess qualitative factors to determine whether it is necessary to perform the quantitative goodwill impairment test, by taking into consideration macroeconomics, overall financial performance, industry and market conditions and the share price of the Company. If determined to be necessary, the quantitative impairment test shall be used to identify goodwill impairment.</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 impairment charge should be recognized for the amount by which the carrying amount exceeds the reporting unit’s fair value; however, the loss recognized should not exceed the total amount of goodwill allocated to that reporting unit.</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performs the annual goodwill impairment assessment as of December 31, or when an event occurs or circumstances change that would more likely than not reduce the fair value of a reporting unit below its carrying amount. As of December 31, 2024 and 2025, the Company qualitatively assessed relevant events and circumstances, including macroeconomics conditions, industry and market considerations, its overall financial performance as well as the share price, and concluded by weighing all these factors in their entirety that it was not more likely than not the fair value of the Company’s reporting unit was lower than its carrying value. For the years ended December 31, 2023, 2024 and 2025, there was no impairment of goodwill.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82"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Separately identifiable intangible assets that have determinable lives continue to be amortized and consist primarily of non-compete agreements, customer list, supplier relationship, technology, business relationship and payment business license as of December 31, 2024 and 2025. The Company amortizes intangible assets on a straight-line basis over their estimated useful lives, which is two to twenty years. The estimated life of amortized intangibles is reassessed if circumstances occur that indicate the life has changed. Other intangible assets that have indefinite useful life primarily include trademark and domain names. The Company evaluates indefinite-lived intangible assets for impairment on an annual basis as of December 31, or an interim basis if events or other circumstances suggest that related fair value is below carrying value. An assessment is made on each December 31 as well to determine whether events and circumstances continue to support an indefinite useful life.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impairment on other intangible assets was recognized for the years ended December 31, 2023, 2024 and 2025,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Long-lived assets (including intangible with definite lives) are reviewed for impairment whenever events or changes in circumstances indicate that the carrying amount of an asset may not be recoverable. Reviews are performed to determine whether the carrying value of an asset group is impaired, based on comparison to undiscounted expected future cash flows. If this comparison indicates that there is impairment, the Company recognizes an impairment of long-lived assets to the extent the carrying amount of such assets exceeds the fair value. No impairment was recognized for the years ended December 31, 2023, 2024 and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liability for rewards program</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provides a discretionary rewards program to its end users, which mainly represents loyalty points. The loyalty points awarded can be redeemed for discounted future bookings or used to purchase gifts through the Company’s mobile applications, other mobile access channels, and websites (“Online Channels”).</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estimated value of the loyalty points expected to be redeemed is generally recognized as a reduction of revenue at the time they are granted. Upon redemption or expiry of the loyalty points, the accrued liability is reduced correspondingly. As of December 31, 2024 and 2025, the accrued liability for the rewards program was RMB2,452 million and RMB3,262 million,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recognizes revenues in accordance with ASC 606, “Revenue from Contracts with Customers” (“ASC 606”), under which, the Company’s revenues are substantially reported on a net basis as the travel supplier is primarily responsible for providing the underlying travel services and the Company does not control the service provided by the travel supplier to the traveler. Revenues are recognized at gross amounts for merchant business where the Company undertakes substantive inventory risks by pre-purchasing inventories.</w:t>
      </w:r>
    </w:p>
    <w:p>
      <w:pPr>
        <w:spacing w:after="0" w:line="180" w:lineRule="exact"/>
        <w:rPr>
          <w:sz w:val="20"/>
          <w:szCs w:val="20"/>
          <w:color w:val="auto"/>
        </w:rPr>
      </w:pPr>
    </w:p>
    <w:p>
      <w:pPr>
        <w:jc w:val="both"/>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Revenue from accommodation reservation services, transportation ticketing services, packaged tours, and corporate travel is substantially recognized at a point of time when the performance obligations that are satisfied. Revenue from other businesses comprises primarily of online advertising services and financial services.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Accommodation reservation services</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 receives commissions from travel suppliers for hotel room reservations through the Company’s transaction and service platform. Commissions from hotel reservation services rendered are recognized when the reservation becomes non-cancelable (when the cancelation period provided by the reservation expires) which is the point at which the Company has fulfilled its performance obligation (successfully booking a reservation, which includes certain post-booking services during the cancelation period). The Company presents revenues from such transactions on a net basis in the statements of income and comprehensive income as the Company, generally, does not control the service provided by the travel supplier to the traveler and does not assume inventory risk for canceled hotel reservations. The amounts of accommodation reservation service revenues recognized on a gross basis were immaterial during the years ended December 31, 2023, 2024 and 2025, respectively.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82"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Transportation ticketing services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Transportation ticketing service revenues mainly represent revenues from ticket reservations and other related services. The Company receives commissions from travel suppliers for ticketing reservations and other related services through the Company’s transaction and service platform under various services agreements. Commissions from ticketing reservations rendered are recognized when tickets are issued as this is when the Company’s performance obligation is satisfied. The Company is not entitled to a commission fee for the tickets canceled by the end users. Losses incurred from cancelations are immaterial due to a historically low cancelation rate and minimal administrative costs incurred in processing cancelations. Revenues from other related services are recognized at the time when the services are rendered. The Company presents revenues from such transactions on a net basis in the statements of income and comprehensive income as the Company, generally, does not control the service provided by the travel supplier to the traveler and does not assume inventory risk for canceled ticketing reservations and other related services. Over 90% of the Company’s transportation ticketing services revenues were recognized on a net basis during the years ended December 31, 2023, 2024 and 2025, respectively.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Packaged tours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receives referral fees from travel product providers for packaged-tour products and services through the Company’s transaction and service platform. Referral fees are recognized on the departure date of the tours as this is when the Company’s performance obligation is satisfied. The Company presents revenues from such transactions on a net basis in the statements of income and comprehensive income when the Company does not control the service provided by the travel supplier to the traveler and has no obligations for canceled packaged-tour products reservations. Over 90% of the Company’s packaged-tour products and services revenues were recognized on a net basis during the years ended December 31, 2023, 2024 and 2025, respectively.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Corporate travel</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Corporate travel management revenues primarily include commissions from transportation ticketing booking, hotel reservation and packaged-tour services rendered to corporate clients. The Company contracts with corporate clients based on service fee model. Travel reservations are made via on-line and off-line services for air tickets, hotel and package-tour. Revenue is recognized on a net basis after the services are rendered and collections are reasonably assured.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primarily comprises online advertising services and financial services.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receives advertising revenues, which principally represent the sale of banners or sponsorship to customers through the Company’s Online Channels. Advertising revenues are recognized ratably over the fixed term of the agreement as services are provided or upon relevant performance obligations being fulfilled through the display of the advertisements. The financial service revenues mainly represent the service fees from third party financial institutions for the Company’s platform services that are recognized ratably over the service period as well as the interest income from the receivables due from the users that are recognized over the credit period. For the years ended December 31, 2023, 2024 and 2025, there was no service in other businesses that had the revenue exceeding 10% of the total revenue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Advances from customers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Cash payments received from travelers in advance of the Company completing its performance obligations are included in “Advances from customers” in the Company’s consolidated balance sheets and are mainly comprised of amounts estimated to be payable to travel suppliers as well as the Company’s estimated future revenues for its commissions. The amounts are mostly subject to refunds for cancellations. The Company expects to complete its performance obligations generally within one year from the reservation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Company’s accounts receivable, prepayments and other current assets (including the receivables of financial services), due from related parties, long-term prepayments and other assets, and long-term receivables due from related parties are within the scope of ASC Topic 326. The Company has identified the relevant risk characteristics of its customers and the related receivables and prepayments, which include size, type of the reservation services the Company provides to its customers or geographic location of the customer, or a combination of these characteristics. Receivables with similar risk characteristics have been grouped into pools. For each pool, the Company considers the historical credit loss experience, current economic conditions, supportable forecasts of future economic conditions, and any historic recoveries in assessing the lifetime expected credit losses. Other key factors that influence the expected credit loss analysis include customer demographics, payment terms offered in the normal course of business to customers, and industry-specific factors that could impact the credit losses of the Company’s receivables. Additionally, external data and macroeconomic factors are also considered. This is assessed at each quarter based on the Company’s specific facts and circumstances.</w:t>
      </w:r>
    </w:p>
    <w:p>
      <w:pPr>
        <w:spacing w:after="0" w:line="18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Judgments and assumptions are required to estimate the allowance for expected credit losses on receivables from and prepayments to customers and such assumptions may change in future periods. As of December 31, 2024 and 2025, no significant impairment indicators were identified, however, it is possible that the Company may have to record additional significant provisions for expected credit losses in the future.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82"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summarized the details of the Company’s allowance for expected credit losses (RMB in millions):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at beginning of year</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credit losses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(353)</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at end of year</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payroll compensation of customer service center personnel, credit card service fees, payments to travel suppliers, telecommunication expenses, direct costs of principal travel tour services, depreciation, rentals, direct costs of financial service and related expenses incurred by the Company which are directly attributable to the Company’s user orders and the rendering of travel related services and other businesses.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Product development expenses primarily include payroll compensation of product development personnel, consulting expenses and other expenses incurred by the Company that are directly attributable to developing the Company’s travel supplier networks as well as to maintain, monitor and manage the Company’s transaction and service platforms. The Company expenses all costs that are incurred in connection with the planning and implementation phases of development and costs that are associated with enhancement of the existing websites and mobile applications or the development of software or mobile applications for internal use and websites content. Costs incurred in the development phase are capitalized and amortized over the estimated product life.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costs of payroll and related compensation for the Company’s sales and marketing personnel, advertising expenses, and other related marketing and promotion expenses. Advertising expenses, amounting to approximately RMB5.3 billion, RMB7.0 billion and RMB9.9 billion for the years ended December 31, 2023, 2024 and 2025 respectively, are charged to the statements of income and comprehensive income as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Company grants restricted share units (“RSUs”) and share options of the Company to eligible employees. The Company accounts for share-based awards issued to employees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Under ASC 718, the Company measures at the grant date the fair value of the stock-based award and recognize compensation costs, net of estimated forfeitures, on a straight-line basis, over the requisite service period. The Company applies the Black-Scholes valuation model in determining the fair value of options granted. Risk-free interest rates are based on US Treasury yield for the terms consistent with the expected life of award at the time of grant. Expected life is based on historical exercise patterns. Expected dividend yield is determined in view of the Company’s historical dividend payout rate and future business plan. The Company estimates expected volatility at the date of grant based on historical volatilities. The fair values of RSUs are determined with reference to the fair value of the underlying shares. Forfeiture rate is estimated based on historical forfeiture patterns and adjusted to reflect future change in circumstances and facts, if any. If actual forfeitures differ from those estimates, the Company may need to revise those estimates used in subsequent periods.</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According to ASC 718, a change in any of the terms or conditions of stock options shall be accounted for as a modification of the plan. Therefore, the Company calculates incremental compensation cost of a modification as the excess of the fair value of the modified option over the fair value of the original option immediately before its terms are modified, measured based on the share price and other pertinent factors at the modification date. For vested options, the Company would recognize incremental compensation cost in the period the modification occurs and for unvested options, the Company would recognize, over the remaining requisite service period, the sum of the incremental compensation cost and the remaining unrecognized compensation cost for the original award on the modification date.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82"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According to ASC 718, the Company classifies certain options or similar instruments as liabilities if the Company can be required under any circumstances to settle the option or similar instrument by transferring cash or other assets and such cash settlement is probable. The percentage of the fair value that is accrued as compensation cost at the end of each period shall equal the percentage of the requisite service that has been rendered at that date. Changes in fair value of the liability classified award that occur during the requisite service period shall be recognized as compensation cost over that period. Changes in fair value that occur after the end of the requisite service period are compensation cost of the period in which the changes occur. Any difference between the amount for which a liability award is settled and its fair value at the settlement date as estimated is an adjustment of compensation cost in the period of settlement.</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Share incentive plans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October 2007, the Company adopted a 2007 Share Incentive Plan (“2007 Incentive Plan”). As of December 31, 2024, and 2025, 11,381,131 and 11,153,600 options were outstanding and there were no RSUs outstanding under the 2007 Incentive Plan.</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June 2017, the Company adopted a Global Share Incentive Plan (“Global Incentive Plan”). The Company granted 12,332,490, 11,406,176 and 11,382,378 new share options to employees with 4-year requisite service period for years ended December 31, 2023, 2024 and 2025, respectively, and nil, nil and 651,042 new RSUs were granted for years ended December 31, 2023, 2024 and 2025.</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68,745,927 and 73,103,327 options and 301,502 and 751,542 RSUs were outstanding under the Global Incentive Plan.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summarized the Company’s share option activities under all the option plans (in US$, except for shares):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77,474,702</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5.01</w:t>
            </w:r>
          </w:p>
        </w:tc>
        <w:tc>
          <w:tcPr>
            <w:tcW w:w="5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12,332,490</w:t>
            </w: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(4,590,690)</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12.18</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(623,526)</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12.57</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84,592,976</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4.70</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11,406,176</w:t>
            </w:r>
          </w:p>
        </w:tc>
        <w:tc>
          <w:tcPr>
            <w:tcW w:w="5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5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(14,954,835)</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16.08</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(917,259)</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16.60</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80,127,058</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4.23</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11,382,378</w:t>
            </w:r>
          </w:p>
        </w:tc>
        <w:tc>
          <w:tcPr>
            <w:tcW w:w="5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5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(6,115,671)</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11.10</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(1,136,838)</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4.33</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84,256,927</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3.84</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expect to vest at December 31,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81,675,354</w:t>
            </w:r>
          </w:p>
        </w:tc>
        <w:tc>
          <w:tcPr>
            <w:tcW w:w="5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560" w:type="dxa"/>
            <w:vAlign w:val="bottom"/>
          </w:tcPr>
          <w:p>
            <w:pPr>
              <w:spacing w:after="0"/>
              <w:rPr>
                <w:sz w:val="20"/>
                <w:szCs w:val="20"/>
                <w:color w:val="auto"/>
              </w:rPr>
            </w:pPr>
          </w:p>
        </w:tc>
        <w:tc>
          <w:tcPr>
            <w:tcW w:w="7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3.78</w:t>
            </w:r>
          </w:p>
        </w:tc>
        <w:tc>
          <w:tcPr>
            <w:tcW w:w="5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51,987,268</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2.69</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current practice is to issue new shares to satisfy share option exercises.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expected-to-vest options are the result of applying the pre-vesting forfeiture rate assumptions of 8% to total unvested options.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intrinsic value (the aggregate difference between the Company’s closing stock price at each reporting date and the exercise price for in-the-money options) that would have been received by the option holders if all in-the-money options had been exercised at each reporting date.</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2023, 2024 and 2025 were US$114 million, US$518 million and US$341 million, respectively.</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December 31, 2023, 2024 and 2025 was US$25.61, US$32.05 and US$43.40 per share, respectively.</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there was US$611 million of total unrecognized compensation cost, net of estimated forfeitures, related to unvested share options which are expected to be recognized over a weighted average period of 2.4 years. Total unrecognized compensation cost may be adjusted for future changes in estimated forfeitures. Total cash received from the exercise of share options amounted to RMB399 million, RMB1,726 million and RMB493 million for the years ended December 31, 2023, 2024 and 2025, respectively.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82"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calculated the estimated fair value of share options on the date of grant using the Black-Scholes pricing model with the following assumptions: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2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3.60%-4.72%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3.86%-4.30%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3.65%-4.61%</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4 – 5</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4 – 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 5</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0.4%</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48%-49%</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46%-48%</w:t>
            </w: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46%-48%</w:t>
            </w:r>
          </w:p>
        </w:tc>
      </w:tr>
      <w:tr>
        <w:trPr>
          <w:trHeight w:val="198"/>
        </w:trPr>
        <w:tc>
          <w:tcPr>
            <w:tcW w:w="5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options at grant date per share</w:t>
            </w:r>
          </w:p>
        </w:tc>
        <w:tc>
          <w:tcPr>
            <w:tcW w:w="138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from US$16.08</w:t>
            </w:r>
          </w:p>
        </w:tc>
        <w:tc>
          <w:tcPr>
            <w:tcW w:w="140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8"/>
              </w:rPr>
              <w:t>from US$16.37</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from US$24.40</w:t>
            </w:r>
          </w:p>
        </w:tc>
      </w:tr>
      <w:tr>
        <w:trPr>
          <w:trHeight w:val="234"/>
        </w:trPr>
        <w:tc>
          <w:tcPr>
            <w:tcW w:w="5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to US$36.51</w:t>
            </w:r>
          </w:p>
        </w:tc>
        <w:tc>
          <w:tcPr>
            <w:tcW w:w="14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to US$58.01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to US$68.96</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RSUs activities under all incentive plans (in US$, except for shares):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980" w:type="dxa"/>
            <w:vAlign w:val="bottom"/>
            <w:gridSpan w:val="3"/>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date fair value (US$)</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Restricted shares</w:t>
            </w: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751,506</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(197,250)</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(568)</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553,688</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(192,072)</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(60,114)</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301,502</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651,042</w:t>
            </w:r>
          </w:p>
        </w:tc>
        <w:tc>
          <w:tcPr>
            <w:tcW w:w="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58.18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(141,002)</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(60,000)</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751,542</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US$18 million unrecognized compensation cost, net of estimated forfeitures, related to unvested restricted shares, which are to be recognized over a weighted average vesting period of 2.2 years. Total unrecognized compensation cost may be adjusted for future changes in estimated forfeitures. The Company determined the fair value of RSUs based on its stock price on the date of grant.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applies ASC 842, Leases, and determines if an arrangement is a lease at inception. Operating leases are primarily for office and operation space and are included in right-of-use (“ROU”) assets, other payables and accruals and long-term lease liabilities on its consolidated balance sheets. ROU assets represent the Company’s right to use an underlying asset for the lease term and lease liabilities represent its obligation to make lease payments arising from the lease. The operating lease ROU assets and liabilities are recognized at lease commencement date based on the present value of lease payments over the lease term. As most of the Company’s leases do not provide an implicit rate, the Company uses its incremental borrowing rate based on the information available at lease commencement date in determining the present value of lease payments. The operating lease ROU asset also includes any lease payments made and excludes lease incentives. The Company’s lease terms may include options to extend or terminate the lease. Renewal options are considered within the ROU assets and lease liability when it is reasonably certain that the Company will exercise that option. Lease expense for lease payments is recognized on a straight-line basis over the lease term.</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operating leases with a term of one year or less, the Company has elected not to recognize a lease liability or ROU asset on its consolidated balance sheet. Instead, it recognizes the lease payments as expense on a straight-line basis over the lease term. Short-term lease costs are immaterial to its consolidated statements of income and comprehensive income and cash flows. The Company has operating lease agreements with insignificant non-lease components and have elected the practical expedient to combine and account for lease and non-lease components as a single lease component.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provided using the balance sheet liability method. Under this method, deferred income taxes are recognized for the tax consequences of significant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purposes. The effect on deferred taxes of a change in tax rates is recognized in income in the period enacted. Valuation allowance is provided on deferred tax assets to the extent that it is more likely than not that the asset will not be realizable in the foreseeable future.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82"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applies ASC 740, “Income Taxes”. It clarifies the accounting for uncertainty in income taxes recognized in the Company’s consolidated financial statements and prescribes a more likely than not threshold for financial statement recognition and measurement of a tax position taken or expected to be taken in a tax return. It also provides guidance on derecognition of income tax assets and liabilities, classification of current and deferred income tax assets and liabilities, accounting for interest and penalties associated with tax positions, accounting for income taxes in interim periods, and income tax disclosures.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(expense)/income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Other (expense)/income consists of financial subsidies and investment (loss)/income. Financial subsidies primarily relate to the non-recurring grants by central and local governments of China. The Company recognizes the income when the grants are received and no further conditions need to be met. Components of other (expense)/income were as follows (RMB in millions):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Dividend from long-term investments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Gain from acquirement of business or disposal of long-term investments (a)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 of long-term investments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equity securities investments and Exchangeable Senior Notes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from the fair value remeasurement upon the discontinuance of the available-for-sale debt</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right="42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the Company recorded a RMB15.2 billion gain for sale of approximately 34 million Class B shares of MakeMyTrip Limited (“MakeMyTrip”) for total consideration of USD3.0 billion (Note 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Statutory reserves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Company’s PRC subsidiaries and VIEs are required to allocate at least 10% of their after-tax profit determined based on the PRC accounting standards and regulations to the general reserve. The allocation to the general reserve will cease if such reserve has reached to 50% of the registered capital of respective company. Appropriations to discretionary surplus reserve are at the discretion of the board of directors of subsidiaries and VIEs. These reserves can only be used for specific purposes and are not transferable to the Company in form of loans, advances, or cash dividends. There is no such regulation of providing statutory reserve in Hong Kong and other countries or regions.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Dividends are recognized when declared.</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PRC regulations currently permit payment of dividends only out of accumulated profits determined based on the PRC accounting standards and regulations. The Company’s PRC subsidiaries can only distribute dividends after they have met the PRC requirements for appropriation to statutory reserves. Additionally, as the Company does not have any direct ownership in the VIEs, the VIEs cannot directly distribute dividends to the Company. The PRC government imposes control over its foreign currency reserves in part through direct regulation of the conversion of RMB into foreign exchange and through restrictions on foreign trade. As the majority of the Company’s revenues are in RMB, any restrictions on currency exchange may limit the Company’s ability to use revenue generated in RMB to fund the Company’s business activities outside China or to make dividend payments in U.S. dollars. However, the Company believes the restrictions on currency exchange imposed by the PRC foreign exchange regulations and enforced by the PRC State Administration of Foreign Exchange (“SAFE”) do not constitute the “restrictions” under Rule 4-08(e)(3) under Regulation S-X, because such restrictions in substance do not prohibit the Company’s subsidiaries or VIEs from transferring net assets to the Company in the combined forms of loans, advances and cash dividends without the consent of SAFE, provided that certain procedural formalities should be complied with. As of December 31, 2025, the restricted net assets of the Company’s PRC subsidiaries and VIEs not distributable in the form of dividends to the parent as a result of the aforesaid PRC regulations and other restrictions were RMB10.5 billion.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00"/>
          </w:cols>
          <w:pgMar w:left="320" w:top="482"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November 2023, the Company adopted a regular capital return policy to benefit the shareholders of the Company in the form of share repurchases, cash dividends, or a combination thereof, commencing from the year of 2024. Under the policy, the Company reserves the discretion relating to the determination of the form, timing, and amount of the capital return measures, depending on the Company’s financial condition, results of operations, cash flow, capital requirements, and other relevant factors.</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No dividends have been paid or declared by the Company during the years ended December 31, 2023, 2024. In 2025, the Company declared a cash dividend of US$0.30 per ordinary share, or US$0.30 per ADS, to the holders of its ordinary shares and ADSs of record as of the close of business on March 17, 2025, Hong Kong time and New York time, respectively, for an aggregate amount of approximately US$200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“Computation of Earnings Per Share”</w:t>
      </w:r>
      <w:r>
        <w:rPr>
          <w:rFonts w:ascii="Times New Roman" w:cs="Times New Roman" w:eastAsia="Times New Roman" w:hAnsi="Times New Roman"/>
          <w:sz w:val="18"/>
          <w:szCs w:val="18"/>
          <w:color w:val="auto"/>
        </w:rPr>
        <w:t>, basic earnings per share is computed by dividing net income attributable to common shareholders by the weighted average number of common shares outstanding during the year. Diluted earnings per share is calculated by dividing net income attributable to common shareholders as adjusted for the effect of dilutive ordinary equivalent shares, if any, by the weighted average number of ordinary and dilutive ordinary equivalent shares outstanding during the year. Dilutive ordinary equivalent shares consist of ordinary shares issuable upon the exercise of outstanding share options (using the treasury stock method). Vested but unexercised stock options with exercise prices that represent little or no consideration are included in the weighted average shares outstanding in the basic earnings per share calculation.</w:t>
      </w:r>
    </w:p>
    <w:p>
      <w:pPr>
        <w:spacing w:after="0" w:line="18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number of common shares outstanding increases as a result of a stock dividend or stock split or decreases as a result of a reverse stock split, the computations of basic and diluted EPS shall be adjusted retroactively for all periods presented to reflect that change in capital structure. If changes in common stock resulting from stock dividends, stock splits, or reverse stock splits occur after the close of the period but before the financial statements are issued or are available to be issued, the per-share computations for those and any prior-period financial statements presented shall be based on the new number of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2024 and 2025, the Company purchased 6.0 million and 10.0 million ADSs in aggregate with a total gross consideration of US$300 million and US$613 million pursuant to its existing share repurchase plan, respectively. The share-repurchase programs do not require the Company to acquire a specific number of shares and may be suspended or discontinued at any time.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Treasury stock is accounted for under the cost method. Under this method, the cost incurred to purchase the shares is recorded in “Treasury stock” on the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Company operates and manages its business as a single segment. Resources are allocated and performance is assessed by the CEO, who is determined to be the Chief Operating Decision Maker (“CODM”). The CODM assesses performance for the single segment and decides how to allocate resources based on net income that also is reported on the consolidated statements of income and comprehensive income as consolidated net income. Significant segment expenses reviewed by the CODM on a regular basis within net income included cost of revenue, product development expenses, sales and marketing expenses, general and administrative expenses and income tax expenses, of which each are separately presented on the consolidated statements of income and comprehensive income. Other segment item within net income included sales tax and surcharges, interest income, interest expense, other (expense)/ income and equity in income of affiliates on the consolidated statements of income and comprehensive income. Since the Company operates in one reportable segment, all financial and product information required can be found in the consolidated financial statements.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geographic information, please refer to Note 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2023-08, Accounting for and Disclosure of Crypto Assets (Subtopic 350-60). This ASU requires certain crypto assets to be measured at fair value separately in the balance sheet and income statement each reporting period. This ASU also enhances the other intangible asset disclosure requirements by requiring the name, cost basis, fair value, and number of units for each significant crypto holding. The ASU is effective for annual periods beginning after December 15, 2024, including interim periods within those fiscal years. Adoption of the ASU requires a cumulative-effect adjustment to the opening balance of retained earnings as of the beginning of the annual reporting period in which an entity adopts the amendments. Early adoption is also permitted, including adoption in an interim period. However, if the ASU is early adopted in an interim period, an entity must adopt the ASU as of the beginning of the fiscal year that includes the interim period. This ASU will result in gains and losses recorded in the consolidated financial statements of income and comprehensive income and additional disclosures when adopted. The Company adopted this update in the first quarter of 2025 and did not have a material impact on the Company’s consolidated financial statements.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82"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The Company adopted the new guidance on December 31, 2025 on a prospective basis in its consolidated financial statements. Details of income tax are set out in Note 15.</w:t>
      </w:r>
    </w:p>
    <w:p>
      <w:pPr>
        <w:spacing w:after="0" w:line="183"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and issued subsequent amendment within ASU 2025-01. The guidance requires tabular footnote disclosure of certain operating expenses disaggregated into categories, such as employee compensation, depreciation, and intangible asset amortization, included within each interim and annual income statement’s expense caption, as applicable. The effective date is for fiscal years beginning after December 15, 2026, and interim periods within fiscal years beginning after December 15, 2027. The Company is in the process of evaluating the impact of the new guidance on its consolidated financial statements and expect to adopt them for the year ending December 31, 2027.</w:t>
      </w:r>
    </w:p>
    <w:p>
      <w:pPr>
        <w:spacing w:after="0" w:line="173"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which requires an entity involved in an acquisition transaction effected primarily by exchanging equity interests when the legal acquiree is a VIE that meets the definition of a business to consider specific factors to determine the accounting acquirer and removes the requirement that the primary beneficiary always is the acquirer for certain transactions. Under the amendments, acquisition transactions in which the legal acquiree is a VIE will, in more instances, result in the same accounting outcomes as economically similar transactions in which the legal acquiree is a voting interest entity. The amendments do not change the accounting for a transaction determined to be a reverse acquisition or a transaction in which the legal acquirer is not a business and is determined to be the accounting acquiree. The new guidance is required to be applied prospectively to any acquisition transaction that occurs after the initial application date. This guidance is effective for the Company for the year ending December 31, 2027. Early adoption is permitted. The Company is in the process of evaluating the impact of the new guidance on its consolidated financial statements.</w:t>
      </w:r>
    </w:p>
    <w:p>
      <w:pPr>
        <w:spacing w:after="0" w:line="194"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which updates the cost capitalization threshold for internal-use software development costs by removing all references to software project development stages and providing new guidance on how to evaluate whether the probable-to-complete recognition threshold has been met. The effective date is for annual periods beginning after December 15, 2027, and interim periods within those annual reporting periods. Early application is permitted as of the beginning of an annual reporting period and the transition method may be prospective, modified, or retrospective. The Company is in the process of evaluating the impact of the new guidance on its consolidated financial statements.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concentration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restricted cash, short-term investments, accounts receivable, amounts due from related parties, prepayments and other current assets. As of December 31, 2024 and 2025, substantially all of the Company’s cash and cash equivalents, restricted cash and short-term investments were held in major financial institutions located in the Chinese Mainland and in Hong Kong, which management considers to be of high credit quality based on their credit ratings. Accounts receivable is generally unsecured and denominated in RMB, and is derived from revenues earned from operations arising primarily in the PRC.</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No individual customer accounted for more than 10% of net revenues for the years ended December 31, 2023, 2024 and 2025. No individual customer accounted for more than 10% of accounts receivable as of December 31, 2024 and 2025.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82"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CURRENT ASSETS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prepayments and other current assets as of December 31, 2024 and 2025 were as follows (RMB in millions):</w:t>
      </w:r>
    </w:p>
    <w:p>
      <w:pPr>
        <w:spacing w:after="0" w:line="151"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deposits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Receivable related to financial services (Note 2)</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5,662</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7,167</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1,009</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1,532</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4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8"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PREPAYMENTS AND OTHER ASSETS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amounts of deposits to airline companies and hotel suppliers. The Company is also required to pay deposits to local travel bureaus as a pledge for insurance of traveler’s safety.</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Components of long-term prepayments and other assets as of December 31, 2024 and 2025 were as follows (RMB in millions):</w:t>
      </w:r>
    </w:p>
    <w:p>
      <w:pPr>
        <w:spacing w:after="0" w:line="151"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paid to airline suppliers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gridSpan w:val="2"/>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Deposit paid to lessor</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acquisition of property and equipment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3"/>
              </w:rPr>
              <w:t>     454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3"/>
              </w:rPr>
              <w:t>     600</w:t>
            </w:r>
          </w:p>
        </w:tc>
        <w:tc>
          <w:tcPr>
            <w:tcW w:w="4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8"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 USE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Land use rights are amortized under straight-line method through the respective period of land rights, which are from 40-50 years. Amortization expense for the years ended December 31, 2023, 2024 and 2025 was approximately RMB3 million, RMB3 million and RMB4 million, respectively. As of December 31, 2024, and 2025, the net book value was RMB77 million and RMB151 million respectively.</w:t>
      </w:r>
    </w:p>
    <w:p>
      <w:pPr>
        <w:spacing w:after="0" w:line="253" w:lineRule="exact"/>
        <w:rPr>
          <w:sz w:val="20"/>
          <w:szCs w:val="20"/>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SOFTWARE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Property, equipment and software and its related accumulated depreciation and amortization as of December 31, 2024 and 2025 were as follows (RMB in millions):</w:t>
      </w:r>
    </w:p>
    <w:p>
      <w:pPr>
        <w:spacing w:after="0" w:line="88" w:lineRule="exact"/>
        <w:rPr>
          <w:sz w:val="20"/>
          <w:szCs w:val="20"/>
          <w:color w:val="auto"/>
        </w:rPr>
      </w:pPr>
    </w:p>
    <w:tbl>
      <w:tblPr>
        <w:tblLayout w:type="fixed"/>
        <w:tblInd w:w="1440" w:type="dxa"/>
        <w:tblCellMar>
          <w:top w:w="0" w:type="dxa"/>
          <w:left w:w="0" w:type="dxa"/>
          <w:bottom w:w="0" w:type="dxa"/>
          <w:right w:w="0" w:type="dxa"/>
        </w:tblCellMar>
      </w:tblPr>
      <w:tr>
        <w:trPr>
          <w:trHeight w:val="180"/>
        </w:trPr>
        <w:tc>
          <w:tcPr>
            <w:tcW w:w="6940" w:type="dxa"/>
            <w:vAlign w:val="bottom"/>
          </w:tcPr>
          <w:p>
            <w:pPr>
              <w:spacing w:after="0"/>
              <w:rPr>
                <w:sz w:val="15"/>
                <w:szCs w:val="15"/>
                <w:color w:val="auto"/>
              </w:rPr>
            </w:pP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5,552</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Website-related equipment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2,156</w:t>
            </w:r>
          </w:p>
        </w:tc>
        <w:tc>
          <w:tcPr>
            <w:tcW w:w="2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837</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948</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793</w:t>
            </w:r>
          </w:p>
        </w:tc>
        <w:tc>
          <w:tcPr>
            <w:tcW w:w="2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(4,782)</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(5,364)</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net book value</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2023, 2024 and 2025 was RMB627 million, RMB655 million and RMB647 million, respectively.</w:t>
      </w:r>
    </w:p>
    <w:p>
      <w:pPr>
        <w:spacing w:after="0" w:line="239"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long-term investments are consisted of the follows (RMB in millions):</w:t>
      </w:r>
    </w:p>
    <w:p>
      <w:pPr>
        <w:spacing w:after="0" w:line="151" w:lineRule="exact"/>
        <w:rPr>
          <w:sz w:val="20"/>
          <w:szCs w:val="20"/>
          <w:color w:val="auto"/>
        </w:rPr>
      </w:pPr>
    </w:p>
    <w:tbl>
      <w:tblPr>
        <w:tblLayout w:type="fixed"/>
        <w:tblInd w:w="1440" w:type="dxa"/>
        <w:tblCellMar>
          <w:top w:w="0" w:type="dxa"/>
          <w:left w:w="0" w:type="dxa"/>
          <w:bottom w:w="0" w:type="dxa"/>
          <w:right w:w="0" w:type="dxa"/>
        </w:tblCellMar>
      </w:tblPr>
      <w:tr>
        <w:trPr>
          <w:trHeight w:val="180"/>
        </w:trPr>
        <w:tc>
          <w:tcPr>
            <w:tcW w:w="27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28,272</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43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35,800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33,103</w:t>
            </w:r>
          </w:p>
        </w:tc>
      </w:tr>
      <w:tr>
        <w:trPr>
          <w:trHeight w:val="27"/>
        </w:trPr>
        <w:tc>
          <w:tcPr>
            <w:tcW w:w="27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47,194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61,375</w:t>
            </w:r>
          </w:p>
        </w:tc>
      </w:tr>
      <w:tr>
        <w:trPr>
          <w:trHeight w:val="20"/>
        </w:trPr>
        <w:tc>
          <w:tcPr>
            <w:tcW w:w="2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700" w:type="dxa"/>
            <w:vAlign w:val="bottom"/>
          </w:tcPr>
          <w:p>
            <w:pPr>
              <w:spacing w:after="0"/>
              <w:rPr>
                <w:sz w:val="24"/>
                <w:szCs w:val="24"/>
                <w:color w:val="auto"/>
              </w:rPr>
            </w:pPr>
          </w:p>
        </w:tc>
        <w:tc>
          <w:tcPr>
            <w:tcW w:w="5060" w:type="dxa"/>
            <w:vAlign w:val="bottom"/>
            <w:gridSpan w:val="3"/>
          </w:tcPr>
          <w:p>
            <w:pPr>
              <w:jc w:val="right"/>
              <w:ind w:right="3400"/>
              <w:spacing w:after="0"/>
              <w:rPr>
                <w:sz w:val="20"/>
                <w:szCs w:val="20"/>
                <w:color w:val="auto"/>
              </w:rPr>
            </w:pPr>
            <w:r>
              <w:rPr>
                <w:rFonts w:ascii="Times New Roman" w:cs="Times New Roman" w:eastAsia="Times New Roman" w:hAnsi="Times New Roman"/>
                <w:sz w:val="18"/>
                <w:szCs w:val="18"/>
                <w:color w:val="auto"/>
              </w:rPr>
              <w:t>F-28</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82" w:right="5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Held to maturity debt securities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Held to maturity investments were time deposits and financial products in commercial banks with maturities of more than one year with the carrying amount of RMB10.5 billion and RMB27.3 billion as of December 31, 2024 and 2025 respectively. As of December 31, 2024 and 2025, the weighted average maturities periods are 2.8 years and 3.5 years,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debt investments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available-for-sale debt investments (RMB in millions):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80"/>
        </w:trPr>
        <w:tc>
          <w:tcPr>
            <w:tcW w:w="71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Gains, including foreign exchange adjustment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Losses, including foreign exchange adjustment</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w:t>
            </w: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Fair Value</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unrealized securities holding losses, net of tax benefit of RMB162 million, RMB2 million and RMB7 million, respectively, were reported in other comprehensive income.</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available-for-sale debt investments mainly include the redeemable preferred shares investments. At December 31, 2025, the Company did not have the intent or a requirement to sell its available-for-sale debt investments. The Company assesses the unrealized losses of the investments and determines whether the decline in fair value is related to credit or non-credit factors. For the years ended December 31, 2023, 2024 and 2025, the Company recognized credit related impairments for the available-for-sale debt investment of RMB115 million, RMB92 million and RMB28 million.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2024 and 2025, the fair value of certain available-for-sale debt investments was below their amortized cost. For the years ended December 31, 2024 and 2025, considering the prolonged business performance of these available-for-sale debt investments, the quality of the investments’ credit, and other adverse conditions specifically related to these investments, the Company, with the assistance of an independent appraiser, performed a quantitative assessment and recognized credit impairment related to these investments with an aggregated amount of RMB92 million and RMB28 million, respectively, which were recorded in other (expense)/income (Note 2). For the years ended December 31, 2024 and 2025, the Company also evaluated the fair value change associated with non-credit factors of these available-for-sale debt investments, which amounted to RMB36 million and RMB25 million, respectively, and were reported, net of tax benefit of RMB9 million and RMB6 million, respectively, in other comprehensive income. Other than these available-for-sale debt investments that were credit impaired, the Company reviewed the remaining available-for-sale debt investments and concluded that their amortized cost is recoverable as of December 31, 2025.</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with readily determinable fair values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equity securities with readily determinable fair values (RMB in millions):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5,764</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Gains, including foreign exchange adjustment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7,240</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10,601</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Losses, including foreign exchange adjustment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(545)</w:t>
            </w:r>
          </w:p>
        </w:tc>
      </w:tr>
      <w:tr>
        <w:trPr>
          <w:trHeight w:val="22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Equity securities with readily determinable fair values are measured and recorded at fair value on a recurring basis with changes in fair value, whether realized or unrealized, recorded through the income statement. The change of fair value is reported in other (expense)/income (Note 2).</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82"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without readily determinable fair values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and over which the Company has neither significant influence nor control through investments in common stock or in-substance common stock, are measured and recorded using a measurement alternative that measures the securities at cost minus impairment, if any, plus or minus changes resulting from qualifying observable price changes. The carrying value of equity securities without readily determinable fair values was RMB369 million and RMB338 million as of December 31, 2024 and 2025 respectively. For the years ended December 31, 2023, 2024 and 2025, there was no observable price changes for these investments. None of the investments individually is considered as material to the Company’s financial position.</w:t>
      </w:r>
    </w:p>
    <w:p>
      <w:pPr>
        <w:spacing w:after="0" w:line="187"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disposed of certain equity securities without readily determinable fair values for total consideration of RMB13 million, RMB7 million and RMB34 million, respectively, which resulted in a gain of RMB8 million, RMB3 million and a loss of RMB1 million as reported in other (expense)/income, respectively.</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made investments in equity investments without readily determinable fair values in the amounts of RMB8 million, RMB15 million and RMB11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December 2016, in connection with a share exchange transaction with BTG Hotels Company (“BTG”) and Homeinns Hotel Company (“Homeinns”), the Company exchanged its previously held equity interest in Homeinns for a 22% equity interest of BTG. The Company has historically applied the equity method to account for the investment in BTG on a one quarter lag basis. The use of this accounting convention did not have a material impact upon the Company’s reported results for each of the periods presented. In 2023, 2024 and 2025, the Company consummated the transactions to sell approximately 1 million, nil, and 32 million BTG’s shares in open market for a total consideration of RMB19 million, nil, and RMB499 million, respectively. The Company recorded a gain of RMB3 million, nil and RMB29 million in 2023, 2024 and 2025, respectively, reported in “other (expense)/income” (Note 2). After the above transactions, the Company held approximately 9% equity interest in BTG and is still able to exercise significant influence over BTG (primarily through its one seat on BTG’s Board of Directors), and continuously recorded this investment as an equity method investment in 2025. In 2024, the market value of BTG had remained below the carrying value of the investment for a prolonged period of time, management considered that there was an other-than-temporary impairment and wrote down its investment on BTG by an amount of RMB605 million, with an impairment loss of RMB514 million (net of tax effect of RMB91 million) recorded in equity in income of affiliates. As of December 31, 2024 and 2025, the carrying value of its investment in BTG were RMB2.0 billion and RMB1.6 billion respectively.</w:t>
      </w:r>
    </w:p>
    <w:p>
      <w:pPr>
        <w:spacing w:after="0" w:line="19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After a series of transactions from 2015 to 2018, the Company owned 27% equity interests in Tongcheng Travel. The Company applies the equity method to account for the investment in Tongcheng Travel on one quarter lag basis. The use of this accounting convention did not have a material impact upon the Company’s reported results for each of the periods presented. As of December 31, 2024 and 2025, the carrying value of its equity investment was RMB6.8 billion and RMB7.4 billion respectively, the change of which primarily relates to the equity income recognized.</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After a series of transactions in 2019, the Company held approximately 49% equity interest in MakeMyTrip. In 2025, the Company sold approximately MakeMyTrip’s 34 million of the Class B shares held by the Company to MakeMyTrip for a total consideration of USD3.0 billion. The Company recorded a gain of RMB15.2 billion, reported in “other (expense)/income” in 2025 (Note 2). After the above transaction, the Company held approximately 17% equity interest in MakeMyTrip and is still able to exercise significant influence over MakeMyTrip (primarily due to the Company’s ability to appoint two members to MakeMyTrip’s Board of Directors), and continuously recorded this investment as an equity method investment. The Company applies the equity method to account for the investment in MakeMyTrip on one quarter lag basis. The use of this accounting convention did not have a material impact upon the Company’s reported results for each of the periods presented. As of December 31, 2024, and 2025, the carrying value of its investment was RMB7.1 billion and RMB884 million.</w:t>
      </w:r>
    </w:p>
    <w:p>
      <w:pPr>
        <w:spacing w:after="0" w:line="19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equity method investments that are publicly traded with an aggregate carrying amount of RMB9.9 billion have increased in value and the total market value of these investments amounted to RMB22.4 billion.</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made some investments in several third party investment funds and accounted for the investments under the equity method. As of December 31, 2024, and 2025, the carrying value of these investments were RMB5.3 billion and RMB4.6 billion respectively.</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carrying value of the remaining equity method investments were RMB2.7 billion and RMB2.5 billion, respectively.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summarizes the condensed financial information of the Company’s equity method investments as a group below in compliance with Rule 4-08 of Regulation S-X (RMB in millions).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82"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Pr>
          <w:p>
            <w:pPr>
              <w:spacing w:after="0"/>
              <w:rPr>
                <w:sz w:val="14"/>
                <w:szCs w:val="14"/>
                <w:color w:val="auto"/>
              </w:rPr>
            </w:pPr>
          </w:p>
        </w:tc>
      </w:tr>
      <w:tr>
        <w:trPr>
          <w:trHeight w:val="133"/>
        </w:trPr>
        <w:tc>
          <w:tcPr>
            <w:tcW w:w="8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equity</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8"/>
              <w:spacing w:after="0" w:line="133" w:lineRule="exact"/>
              <w:rPr>
                <w:sz w:val="20"/>
                <w:szCs w:val="20"/>
                <w:color w:val="auto"/>
              </w:rPr>
            </w:pPr>
            <w:r>
              <w:rPr>
                <w:rFonts w:ascii="Times New Roman" w:cs="Times New Roman" w:eastAsia="Times New Roman" w:hAnsi="Times New Roman"/>
                <w:sz w:val="14"/>
                <w:szCs w:val="14"/>
                <w:color w:val="auto"/>
              </w:rPr>
              <w:t>equity</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equity</w:t>
            </w:r>
          </w:p>
        </w:tc>
        <w:tc>
          <w:tcPr>
            <w:tcW w:w="60" w:type="dxa"/>
            <w:vAlign w:val="bottom"/>
          </w:tcPr>
          <w:p>
            <w:pPr>
              <w:spacing w:after="0"/>
              <w:rPr>
                <w:sz w:val="11"/>
                <w:szCs w:val="11"/>
                <w:color w:val="auto"/>
              </w:rPr>
            </w:pPr>
          </w:p>
        </w:tc>
      </w:tr>
      <w:tr>
        <w:trPr>
          <w:trHeight w:val="171"/>
        </w:trPr>
        <w:tc>
          <w:tcPr>
            <w:tcW w:w="8100" w:type="dxa"/>
            <w:vAlign w:val="bottom"/>
          </w:tcPr>
          <w:p>
            <w:pPr>
              <w:spacing w:after="0"/>
              <w:rPr>
                <w:sz w:val="14"/>
                <w:szCs w:val="14"/>
                <w:color w:val="auto"/>
              </w:rPr>
            </w:pPr>
          </w:p>
        </w:tc>
        <w:tc>
          <w:tcPr>
            <w:tcW w:w="10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investments</w:t>
            </w:r>
          </w:p>
        </w:tc>
        <w:tc>
          <w:tcPr>
            <w:tcW w:w="11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color w:val="auto"/>
              </w:rPr>
              <w:t>investments</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investments</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data of equity method investments:</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30,885</w:t>
            </w:r>
          </w:p>
        </w:tc>
        <w:tc>
          <w:tcPr>
            <w:tcW w:w="3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41,540</w:t>
            </w:r>
          </w:p>
        </w:tc>
        <w:tc>
          <w:tcPr>
            <w:tcW w:w="3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44,208</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17,698</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22,297</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24,665</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2,557</w:t>
            </w:r>
          </w:p>
        </w:tc>
        <w:tc>
          <w:tcPr>
            <w:tcW w:w="3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4,149</w:t>
            </w:r>
          </w:p>
        </w:tc>
        <w:tc>
          <w:tcPr>
            <w:tcW w:w="3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5,752</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888</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5,575</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3,091</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equity method investments</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983</w:t>
            </w:r>
          </w:p>
        </w:tc>
        <w:tc>
          <w:tcPr>
            <w:tcW w:w="3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3,329</w:t>
            </w:r>
          </w:p>
        </w:tc>
        <w:tc>
          <w:tcPr>
            <w:tcW w:w="3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dilution impact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Impairment, net of tax</w:t>
            </w:r>
          </w:p>
        </w:tc>
        <w:tc>
          <w:tcPr>
            <w:tcW w:w="60" w:type="dxa"/>
            <w:vAlign w:val="bottom"/>
          </w:tcPr>
          <w:p>
            <w:pPr>
              <w:spacing w:after="0"/>
              <w:rPr>
                <w:sz w:val="18"/>
                <w:szCs w:val="18"/>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of affiliates</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1,072</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2,828</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r>
      <w:tr>
        <w:trPr>
          <w:trHeight w:val="391"/>
        </w:trPr>
        <w:tc>
          <w:tcPr>
            <w:tcW w:w="8100" w:type="dxa"/>
            <w:vAlign w:val="bottom"/>
          </w:tcPr>
          <w:p>
            <w:pPr>
              <w:spacing w:after="0"/>
              <w:rPr>
                <w:sz w:val="24"/>
                <w:szCs w:val="24"/>
                <w:color w:val="auto"/>
              </w:rPr>
            </w:pPr>
          </w:p>
        </w:tc>
        <w:tc>
          <w:tcPr>
            <w:tcW w:w="70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Pr>
          <w:p>
            <w:pPr>
              <w:spacing w:after="0"/>
              <w:rPr>
                <w:sz w:val="24"/>
                <w:szCs w:val="24"/>
                <w:color w:val="auto"/>
              </w:rPr>
            </w:pPr>
          </w:p>
        </w:tc>
      </w:tr>
      <w:tr>
        <w:trPr>
          <w:trHeight w:val="133"/>
        </w:trPr>
        <w:tc>
          <w:tcPr>
            <w:tcW w:w="8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gridSpan w:val="2"/>
          </w:tcPr>
          <w:p>
            <w:pPr>
              <w:jc w:val="center"/>
              <w:ind w:right="20"/>
              <w:spacing w:after="0" w:line="133" w:lineRule="exact"/>
              <w:rPr>
                <w:sz w:val="20"/>
                <w:szCs w:val="20"/>
                <w:color w:val="auto"/>
              </w:rPr>
            </w:pPr>
            <w:r>
              <w:rPr>
                <w:rFonts w:ascii="Times New Roman" w:cs="Times New Roman" w:eastAsia="Times New Roman" w:hAnsi="Times New Roman"/>
                <w:sz w:val="14"/>
                <w:szCs w:val="14"/>
                <w:color w:val="auto"/>
              </w:rPr>
              <w:t>equity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equity</w:t>
            </w:r>
          </w:p>
        </w:tc>
        <w:tc>
          <w:tcPr>
            <w:tcW w:w="3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equity</w:t>
            </w:r>
          </w:p>
        </w:tc>
        <w:tc>
          <w:tcPr>
            <w:tcW w:w="60" w:type="dxa"/>
            <w:vAlign w:val="bottom"/>
          </w:tcPr>
          <w:p>
            <w:pPr>
              <w:spacing w:after="0"/>
              <w:rPr>
                <w:sz w:val="11"/>
                <w:szCs w:val="11"/>
                <w:color w:val="auto"/>
              </w:rPr>
            </w:pPr>
          </w:p>
        </w:tc>
      </w:tr>
      <w:tr>
        <w:trPr>
          <w:trHeight w:val="171"/>
        </w:trPr>
        <w:tc>
          <w:tcPr>
            <w:tcW w:w="8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investments</w:t>
            </w:r>
          </w:p>
        </w:tc>
        <w:tc>
          <w:tcPr>
            <w:tcW w:w="6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investments</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investments</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data of equity method investments:</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67,149</w:t>
            </w:r>
          </w:p>
        </w:tc>
        <w:tc>
          <w:tcPr>
            <w:tcW w:w="11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82,554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95,256</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0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55,097</w:t>
            </w:r>
          </w:p>
        </w:tc>
        <w:tc>
          <w:tcPr>
            <w:tcW w:w="1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58,598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55,181</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54,235</w:t>
            </w:r>
          </w:p>
        </w:tc>
        <w:tc>
          <w:tcPr>
            <w:tcW w:w="11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63,397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72,526</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19,721</w:t>
            </w:r>
          </w:p>
        </w:tc>
        <w:tc>
          <w:tcPr>
            <w:tcW w:w="1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23,413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31,335</w:t>
            </w: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238</w:t>
            </w:r>
          </w:p>
        </w:tc>
        <w:tc>
          <w:tcPr>
            <w:tcW w:w="11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1,117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1,183</w:t>
            </w:r>
          </w:p>
        </w:tc>
      </w:tr>
    </w:tbl>
    <w:p>
      <w:pPr>
        <w:spacing w:after="0" w:line="179" w:lineRule="exact"/>
        <w:rPr>
          <w:sz w:val="20"/>
          <w:szCs w:val="20"/>
          <w:color w:val="auto"/>
        </w:rPr>
      </w:pPr>
    </w:p>
    <w:p>
      <w:pPr>
        <w:jc w:val="both"/>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total cash paid for equity method investments was RMB543 million, RMB53 million and RMB373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performs an impairment assessment of its investments by considering factors including, but not limited to, current economic and market conditions, as well as the operating performance of the investees. For the years ended December 31, 2023, 2024 and 2025, impairment charges in connection with the available-for-sale debt investment of RMB115 million, RMB92 million and RMB28 million were recorded. Impairment charges in connection with the equity securities without readily determinable fair value of nil, RMB30 million and RMB7 million were recorded. Impairment charges in connection with the equity method investments, net of tax, of nil, RMB552 million and nil were recorded.</w:t>
      </w:r>
    </w:p>
    <w:p>
      <w:pPr>
        <w:spacing w:after="0" w:line="328"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ASC 820-10, the Company measures financial products, derivative instruments, available-for-sale debt investments and equity securities with readily determinable fair value at fair value on a recurring basis. Equity securities classified within Level 1 are valued using quoted market prices that currently available on a securities exchange registered with the Securities and Exchange Commission (SEC), Shanghai Stock Exchange (SSE) or Hong Kong Stock Exchange (HKEX). Financial products and derivative instruments classified within Level 2 are valued using directly or indirectly observable inputs in the market place. The available-for-sale debt investments classified within Level 3 are valued based on a model utilizing unobservable inputs which require significant management judgment and estimation.</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equity securities without readily determinable fair value, equity method investments and certain non-financial assets are recorded at fair value only if an impairment or observable price adjustment is recognized in the current period. If an impairment or observable price adjustment is recognized on the equity securities during the period, the Company classify these assets as Level 3 within the fair value hierarchy based on the nature of the fair value inputs.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 (in millions):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60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Measurement</w:t>
            </w: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 Using</w:t>
            </w:r>
          </w:p>
        </w:tc>
        <w:tc>
          <w:tcPr>
            <w:tcW w:w="3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00" w:type="dxa"/>
            <w:vAlign w:val="bottom"/>
            <w:gridSpan w:val="2"/>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Level 1</w:t>
            </w:r>
          </w:p>
        </w:tc>
        <w:tc>
          <w:tcPr>
            <w:tcW w:w="90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3"/>
                <w:szCs w:val="13"/>
                <w:b w:val="1"/>
                <w:bCs w:val="1"/>
                <w:color w:val="auto"/>
              </w:rPr>
              <w:t>Level 2</w:t>
            </w: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Level 3</w:t>
            </w:r>
          </w:p>
        </w:tc>
        <w:tc>
          <w:tcPr>
            <w:tcW w:w="360" w:type="dxa"/>
            <w:vAlign w:val="bottom"/>
          </w:tcPr>
          <w:p>
            <w:pPr>
              <w:spacing w:after="0"/>
              <w:rPr>
                <w:sz w:val="10"/>
                <w:szCs w:val="10"/>
                <w:color w:val="auto"/>
              </w:rPr>
            </w:pP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RMB</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RMB</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RMB</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RMB</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Financial products (Note 2, 7)</w:t>
            </w:r>
          </w:p>
        </w:tc>
        <w:tc>
          <w:tcPr>
            <w:tcW w:w="294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20,174</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20,174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 (Note 2)</w:t>
            </w:r>
          </w:p>
        </w:tc>
        <w:tc>
          <w:tcPr>
            <w:tcW w:w="29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171</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Listed equity securities (Note 7)</w:t>
            </w:r>
          </w:p>
        </w:tc>
        <w:tc>
          <w:tcPr>
            <w:tcW w:w="384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11,422</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11,422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investments (Note 7)</w:t>
            </w:r>
          </w:p>
        </w:tc>
        <w:tc>
          <w:tcPr>
            <w:tcW w:w="29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941</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4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11,422</w:t>
            </w: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20,345</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974</w:t>
            </w:r>
          </w:p>
        </w:tc>
        <w:tc>
          <w:tcPr>
            <w:tcW w:w="3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38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F-31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w:t>
            </w:r>
          </w:p>
        </w:tc>
        <w:tc>
          <w:tcPr>
            <w:tcW w:w="360" w:type="dxa"/>
            <w:vAlign w:val="bottom"/>
          </w:tcPr>
          <w:p>
            <w:pPr>
              <w:spacing w:after="0"/>
              <w:rPr>
                <w:sz w:val="13"/>
                <w:szCs w:val="13"/>
                <w:color w:val="auto"/>
              </w:rPr>
            </w:pP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400" w:type="dxa"/>
            <w:vAlign w:val="bottom"/>
          </w:tcPr>
          <w:p>
            <w:pPr>
              <w:spacing w:after="0"/>
              <w:rPr>
                <w:sz w:val="15"/>
                <w:szCs w:val="15"/>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 Using</w:t>
            </w:r>
          </w:p>
        </w:tc>
        <w:tc>
          <w:tcPr>
            <w:tcW w:w="3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740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Level 1</w:t>
            </w:r>
          </w:p>
        </w:tc>
        <w:tc>
          <w:tcPr>
            <w:tcW w:w="360" w:type="dxa"/>
            <w:vAlign w:val="bottom"/>
          </w:tcPr>
          <w:p>
            <w:pPr>
              <w:spacing w:after="0"/>
              <w:rPr>
                <w:sz w:val="10"/>
                <w:szCs w:val="10"/>
                <w:color w:val="auto"/>
              </w:rPr>
            </w:pPr>
          </w:p>
        </w:tc>
        <w:tc>
          <w:tcPr>
            <w:tcW w:w="800" w:type="dxa"/>
            <w:vAlign w:val="bottom"/>
            <w:gridSpan w:val="2"/>
          </w:tcPr>
          <w:p>
            <w:pPr>
              <w:jc w:val="center"/>
              <w:ind w:right="360"/>
              <w:spacing w:after="0" w:line="119" w:lineRule="exact"/>
              <w:rPr>
                <w:sz w:val="20"/>
                <w:szCs w:val="20"/>
                <w:color w:val="auto"/>
              </w:rPr>
            </w:pPr>
            <w:r>
              <w:rPr>
                <w:rFonts w:ascii="Times New Roman" w:cs="Times New Roman" w:eastAsia="Times New Roman" w:hAnsi="Times New Roman"/>
                <w:sz w:val="13"/>
                <w:szCs w:val="13"/>
                <w:b w:val="1"/>
                <w:bCs w:val="1"/>
                <w:color w:val="auto"/>
              </w:rPr>
              <w:t>Level 2</w:t>
            </w:r>
          </w:p>
        </w:tc>
        <w:tc>
          <w:tcPr>
            <w:tcW w:w="4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Level 3</w:t>
            </w:r>
          </w:p>
        </w:tc>
        <w:tc>
          <w:tcPr>
            <w:tcW w:w="360" w:type="dxa"/>
            <w:vAlign w:val="bottom"/>
          </w:tcPr>
          <w:p>
            <w:pPr>
              <w:spacing w:after="0"/>
              <w:rPr>
                <w:sz w:val="10"/>
                <w:szCs w:val="10"/>
                <w:color w:val="auto"/>
              </w:rPr>
            </w:pP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RMB</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w:t>
            </w:r>
          </w:p>
        </w:tc>
        <w:tc>
          <w:tcPr>
            <w:tcW w:w="36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RMB</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w:t>
            </w:r>
          </w:p>
        </w:tc>
        <w:tc>
          <w:tcPr>
            <w:tcW w:w="3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Exchangeable senior notes (Note 12)</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3,906</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 (Note 2)</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11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3,911</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04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8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 Using</w:t>
            </w:r>
          </w:p>
        </w:tc>
        <w:tc>
          <w:tcPr>
            <w:tcW w:w="160" w:type="dxa"/>
            <w:vAlign w:val="bottom"/>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76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72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3"/>
                <w:szCs w:val="13"/>
                <w:b w:val="1"/>
                <w:bCs w:val="1"/>
                <w:color w:val="auto"/>
              </w:rPr>
              <w:t>Level 1</w:t>
            </w:r>
          </w:p>
        </w:tc>
        <w:tc>
          <w:tcPr>
            <w:tcW w:w="780" w:type="dxa"/>
            <w:vAlign w:val="bottom"/>
            <w:gridSpan w:val="4"/>
          </w:tcPr>
          <w:p>
            <w:pPr>
              <w:jc w:val="right"/>
              <w:ind w:right="280"/>
              <w:spacing w:after="0" w:line="119" w:lineRule="exact"/>
              <w:rPr>
                <w:sz w:val="20"/>
                <w:szCs w:val="20"/>
                <w:color w:val="auto"/>
              </w:rPr>
            </w:pPr>
            <w:r>
              <w:rPr>
                <w:rFonts w:ascii="Times New Roman" w:cs="Times New Roman" w:eastAsia="Times New Roman" w:hAnsi="Times New Roman"/>
                <w:sz w:val="13"/>
                <w:szCs w:val="13"/>
                <w:b w:val="1"/>
                <w:bCs w:val="1"/>
                <w:color w:val="auto"/>
              </w:rPr>
              <w:t>Level 2</w:t>
            </w:r>
          </w:p>
        </w:tc>
        <w:tc>
          <w:tcPr>
            <w:tcW w:w="38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w w:val="89"/>
              </w:rPr>
              <w:t>Level 3</w:t>
            </w:r>
          </w:p>
        </w:tc>
        <w:tc>
          <w:tcPr>
            <w:tcW w:w="160" w:type="dxa"/>
            <w:vAlign w:val="bottom"/>
          </w:tcPr>
          <w:p>
            <w:pPr>
              <w:spacing w:after="0"/>
              <w:rPr>
                <w:sz w:val="10"/>
                <w:szCs w:val="10"/>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RMB</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RMB</w:t>
            </w:r>
          </w:p>
        </w:tc>
        <w:tc>
          <w:tcPr>
            <w:tcW w:w="7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RMB</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RMB</w:t>
            </w:r>
          </w:p>
        </w:tc>
        <w:tc>
          <w:tcPr>
            <w:tcW w:w="72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products (Note 2, 7)</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23,118</w:t>
            </w:r>
          </w:p>
        </w:tc>
        <w:tc>
          <w:tcPr>
            <w:tcW w:w="10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23,118</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3,306</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 (Note 2)</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Listed equity securities (Note 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15,820</w:t>
            </w:r>
          </w:p>
        </w:tc>
        <w:tc>
          <w:tcPr>
            <w:tcW w:w="14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investments (Note 7)</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970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15,820</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23,156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970</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Exchangeable senior notes (Note 12)</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 (Note 2)</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roll forward of major Level 3 Investments are as follows (RMB in millions):</w:t>
            </w: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7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Level 3 Investments as at December 31, 2023</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Transfer out of Level 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addition</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Disposal</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credit losses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change in fair value of the investments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Fair value of Level 3 Investments as at December 31, 2024</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out of Level 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addition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credit losses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fair value of the investments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Level 3 Investments as at December 31, 2025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Management determined the fair value of these Level 3 Investments based on valuation models using various unobservable inputs. The determination of the fair value required significant judgement by management with respect to the assumptions and estimates for the revenue growth rate, weighted average cost of capital, lack of marketability discounts, expected volatility and probability in equity allocation. The significant unobservable inputs adopted in the valuation as of December 31, 2024 and 2025 are as follows: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Unobservable Input</w:t>
            </w:r>
          </w:p>
        </w:tc>
        <w:tc>
          <w:tcPr>
            <w:tcW w:w="3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2024</w:t>
            </w:r>
          </w:p>
        </w:tc>
        <w:tc>
          <w:tcPr>
            <w:tcW w:w="4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Revenue growth rate</w:t>
            </w:r>
          </w:p>
        </w:tc>
        <w:tc>
          <w:tcPr>
            <w:tcW w:w="3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8%-20%</w:t>
            </w:r>
          </w:p>
        </w:tc>
        <w:tc>
          <w:tcPr>
            <w:tcW w:w="4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3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13%-14%</w:t>
            </w:r>
          </w:p>
        </w:tc>
        <w:tc>
          <w:tcPr>
            <w:tcW w:w="4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13%-15%</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Lack of marketability discount</w:t>
            </w:r>
          </w:p>
        </w:tc>
        <w:tc>
          <w:tcPr>
            <w:tcW w:w="3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10%-23%</w:t>
            </w:r>
          </w:p>
        </w:tc>
        <w:tc>
          <w:tcPr>
            <w:tcW w:w="4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10%-23%</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25%-60%</w:t>
            </w:r>
          </w:p>
        </w:tc>
        <w:tc>
          <w:tcPr>
            <w:tcW w:w="4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35%-62%</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Probability</w:t>
            </w:r>
          </w:p>
        </w:tc>
        <w:tc>
          <w:tcPr>
            <w:tcW w:w="3760" w:type="dxa"/>
            <w:vAlign w:val="bottom"/>
          </w:tcPr>
          <w:p>
            <w:pPr>
              <w:ind w:left="820"/>
              <w:spacing w:after="0" w:line="198" w:lineRule="exact"/>
              <w:rPr>
                <w:sz w:val="20"/>
                <w:szCs w:val="20"/>
                <w:color w:val="auto"/>
              </w:rPr>
            </w:pPr>
            <w:r>
              <w:rPr>
                <w:rFonts w:ascii="Times New Roman" w:cs="Times New Roman" w:eastAsia="Times New Roman" w:hAnsi="Times New Roman"/>
                <w:sz w:val="18"/>
                <w:szCs w:val="18"/>
                <w:color w:val="auto"/>
              </w:rPr>
              <w:t>Liquidation scenario: 5%-95%</w:t>
            </w:r>
          </w:p>
        </w:tc>
        <w:tc>
          <w:tcPr>
            <w:tcW w:w="410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Liquidation scenario: 5%-95%</w:t>
            </w:r>
          </w:p>
        </w:tc>
      </w:tr>
      <w:tr>
        <w:trPr>
          <w:trHeight w:val="216"/>
        </w:trPr>
        <w:tc>
          <w:tcPr>
            <w:tcW w:w="3160" w:type="dxa"/>
            <w:vAlign w:val="bottom"/>
          </w:tcPr>
          <w:p>
            <w:pPr>
              <w:spacing w:after="0"/>
              <w:rPr>
                <w:sz w:val="18"/>
                <w:szCs w:val="18"/>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Redemption scenario: 0%-30%</w:t>
            </w:r>
          </w:p>
        </w:tc>
        <w:tc>
          <w:tcPr>
            <w:tcW w:w="4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Redemption scenario: 0%-30%</w:t>
            </w:r>
          </w:p>
        </w:tc>
      </w:tr>
      <w:tr>
        <w:trPr>
          <w:trHeight w:val="234"/>
        </w:trPr>
        <w:tc>
          <w:tcPr>
            <w:tcW w:w="3160" w:type="dxa"/>
            <w:vAlign w:val="bottom"/>
          </w:tcPr>
          <w:p>
            <w:pPr>
              <w:spacing w:after="0"/>
              <w:rPr>
                <w:sz w:val="20"/>
                <w:szCs w:val="20"/>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Conversion scenario: 5%~95%</w:t>
            </w:r>
          </w:p>
        </w:tc>
        <w:tc>
          <w:tcPr>
            <w:tcW w:w="4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Conversion scenario: 5%~95%</w:t>
            </w:r>
          </w:p>
        </w:tc>
      </w:tr>
      <w:tr>
        <w:trPr>
          <w:trHeight w:val="378"/>
        </w:trPr>
        <w:tc>
          <w:tcPr>
            <w:tcW w:w="3160" w:type="dxa"/>
            <w:vAlign w:val="bottom"/>
          </w:tcPr>
          <w:p>
            <w:pPr>
              <w:spacing w:after="0"/>
              <w:rPr>
                <w:sz w:val="24"/>
                <w:szCs w:val="24"/>
                <w:color w:val="auto"/>
              </w:rPr>
            </w:pPr>
          </w:p>
        </w:tc>
        <w:tc>
          <w:tcPr>
            <w:tcW w:w="37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F-32</w:t>
            </w:r>
          </w:p>
        </w:tc>
        <w:tc>
          <w:tcPr>
            <w:tcW w:w="41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Goodwill, which is not tax deductible, represents the synergy effects of the business combinations. The changes in the carrying amount of goodwill for the years ended December 31, 2024 and 2025 were as follows (RMB in millions):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0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60,911</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(Note 2)</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1,533</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1,303</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62,268</w:t>
            </w:r>
          </w:p>
        </w:tc>
        <w:tc>
          <w:tcPr>
            <w:tcW w:w="4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Goodwill resulting from the business combinations has been allocated to the single reporting unit of the Company.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2023, 2024 and 2025, the Company performed a qualitative assessment by evaluating relevant events and circumstances that would affect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single reporting unit and did not note any indicator that it is more likely than not that the fair value of the Company’s reporting unit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less than its carrying amount, and therefore the Company’s goodwill was not impaired. As of December 31, 2025, there had not been any accumulated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goodwill impairment provided.</w:t>
      </w:r>
    </w:p>
    <w:p>
      <w:pPr>
        <w:spacing w:after="0" w:line="35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w:t>
        <w:tab/>
        <w:t>INTANGIBLE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were as follows (RMB in millions):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r>
      <w:tr>
        <w:trPr>
          <w:trHeight w:val="196"/>
        </w:trPr>
        <w:tc>
          <w:tcPr>
            <w:tcW w:w="696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Intangible assets to be amortized</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96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Business Relationship (Representing the relationship with the travel service</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providers and other business partners)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1,967</w:t>
            </w:r>
          </w:p>
        </w:tc>
      </w:tr>
      <w:tr>
        <w:trPr>
          <w:trHeight w:val="216"/>
        </w:trPr>
        <w:tc>
          <w:tcPr>
            <w:tcW w:w="6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Technology</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799</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w:t>
            </w:r>
          </w:p>
        </w:tc>
      </w:tr>
      <w:tr>
        <w:trPr>
          <w:trHeight w:val="216"/>
        </w:trPr>
        <w:tc>
          <w:tcPr>
            <w:tcW w:w="6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802</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 mark</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11,972</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12,069</w:t>
            </w:r>
          </w:p>
        </w:tc>
      </w:tr>
      <w:tr>
        <w:trPr>
          <w:trHeight w:val="216"/>
        </w:trPr>
        <w:tc>
          <w:tcPr>
            <w:tcW w:w="6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69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to be amortized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Business Relationship</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(1,861)</w:t>
            </w:r>
          </w:p>
        </w:tc>
      </w:tr>
      <w:tr>
        <w:trPr>
          <w:trHeight w:val="216"/>
        </w:trPr>
        <w:tc>
          <w:tcPr>
            <w:tcW w:w="6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Technology</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6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69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(2,846)</w:t>
            </w: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to be amortized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Business Relationship</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Technology</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Trade mark</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11,972</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12,069</w:t>
            </w:r>
          </w:p>
        </w:tc>
      </w:tr>
      <w:tr>
        <w:trPr>
          <w:trHeight w:val="216"/>
        </w:trPr>
        <w:tc>
          <w:tcPr>
            <w:tcW w:w="6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69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12,763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12,862</w:t>
            </w:r>
          </w:p>
        </w:tc>
      </w:tr>
      <w:tr>
        <w:trPr>
          <w:trHeight w:val="20"/>
        </w:trPr>
        <w:tc>
          <w:tcPr>
            <w:tcW w:w="6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Indefinite-lived intangible assets are not subject to legal, regulatory, contractual, competitive, economic or other limitation on their useful lives.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evaluates to determine whether events and circumstances continue to support an indefinite useful life in each reporting period.</w:t>
      </w:r>
    </w:p>
    <w:p>
      <w:pPr>
        <w:spacing w:after="0" w:line="20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tested for impairment if impairment indicators arise. The Company amortizes its finite-lived intangible assets over their estimated economic useful lives using the straight-line method:</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Relationship</w:t>
            </w:r>
          </w:p>
        </w:tc>
        <w:tc>
          <w:tcPr>
            <w:tcW w:w="3340" w:type="dxa"/>
            <w:vAlign w:val="bottom"/>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3-20 years</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33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2-10 years</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340" w:type="dxa"/>
            <w:vAlign w:val="bottom"/>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2-16 years</w:t>
            </w:r>
          </w:p>
        </w:tc>
      </w:tr>
    </w:tbl>
    <w:p>
      <w:pPr>
        <w:spacing w:after="0" w:line="198"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2023, 2024 and 2025 was approximately RMB187 million, RMB193 million and RMB194 million respectively.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00"/>
          </w:cols>
          <w:pgMar w:left="320" w:top="482"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annual estimated amortization expense for intangible assets subject to amortization for the five succeeding years is as follows (RMB in millions):</w:t>
      </w:r>
    </w:p>
    <w:p>
      <w:pPr>
        <w:spacing w:after="0" w:line="88"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09"/>
        </w:trPr>
        <w:tc>
          <w:tcPr>
            <w:tcW w:w="6600" w:type="dxa"/>
            <w:vAlign w:val="bottom"/>
            <w:tcBorders>
              <w:top w:val="single" w:sz="8" w:color="CCEEFF"/>
            </w:tcBorders>
            <w:shd w:val="clear" w:color="auto" w:fill="CCEEFF"/>
          </w:tcPr>
          <w:p>
            <w:pPr>
              <w:jc w:val="right"/>
              <w:ind w:right="6150"/>
              <w:spacing w:after="0"/>
              <w:rPr>
                <w:sz w:val="20"/>
                <w:szCs w:val="20"/>
                <w:color w:val="auto"/>
              </w:rPr>
            </w:pPr>
            <w:r>
              <w:rPr>
                <w:rFonts w:ascii="Times New Roman" w:cs="Times New Roman" w:eastAsia="Times New Roman" w:hAnsi="Times New Roman"/>
                <w:sz w:val="18"/>
                <w:szCs w:val="18"/>
                <w:color w:val="auto"/>
                <w:w w:val="94"/>
              </w:rPr>
              <w:t>2026</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jc w:val="right"/>
              <w:ind w:right="6150"/>
              <w:spacing w:after="0"/>
              <w:rPr>
                <w:sz w:val="20"/>
                <w:szCs w:val="20"/>
                <w:color w:val="auto"/>
              </w:rPr>
            </w:pPr>
            <w:r>
              <w:rPr>
                <w:rFonts w:ascii="Times New Roman" w:cs="Times New Roman" w:eastAsia="Times New Roman" w:hAnsi="Times New Roman"/>
                <w:sz w:val="18"/>
                <w:szCs w:val="18"/>
                <w:color w:val="auto"/>
                <w:w w:val="94"/>
              </w:rPr>
              <w:t>2027</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8"/>
                <w:szCs w:val="18"/>
                <w:color w:val="auto"/>
              </w:rPr>
            </w:pPr>
          </w:p>
        </w:tc>
      </w:tr>
      <w:tr>
        <w:trPr>
          <w:trHeight w:val="216"/>
        </w:trPr>
        <w:tc>
          <w:tcPr>
            <w:tcW w:w="6600" w:type="dxa"/>
            <w:vAlign w:val="bottom"/>
            <w:shd w:val="clear" w:color="auto" w:fill="CCEEFF"/>
          </w:tcPr>
          <w:p>
            <w:pPr>
              <w:jc w:val="right"/>
              <w:ind w:right="6150"/>
              <w:spacing w:after="0"/>
              <w:rPr>
                <w:sz w:val="20"/>
                <w:szCs w:val="20"/>
                <w:color w:val="auto"/>
              </w:rPr>
            </w:pPr>
            <w:r>
              <w:rPr>
                <w:rFonts w:ascii="Times New Roman" w:cs="Times New Roman" w:eastAsia="Times New Roman" w:hAnsi="Times New Roman"/>
                <w:sz w:val="18"/>
                <w:szCs w:val="18"/>
                <w:color w:val="auto"/>
                <w:w w:val="94"/>
              </w:rPr>
              <w:t>2028</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jc w:val="right"/>
              <w:ind w:right="6150"/>
              <w:spacing w:after="0"/>
              <w:rPr>
                <w:sz w:val="20"/>
                <w:szCs w:val="20"/>
                <w:color w:val="auto"/>
              </w:rPr>
            </w:pPr>
            <w:r>
              <w:rPr>
                <w:rFonts w:ascii="Times New Roman" w:cs="Times New Roman" w:eastAsia="Times New Roman" w:hAnsi="Times New Roman"/>
                <w:sz w:val="18"/>
                <w:szCs w:val="18"/>
                <w:color w:val="auto"/>
                <w:w w:val="94"/>
              </w:rPr>
              <w:t>2029</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8"/>
                <w:szCs w:val="18"/>
                <w:color w:val="auto"/>
              </w:rPr>
            </w:pPr>
          </w:p>
        </w:tc>
      </w:tr>
      <w:tr>
        <w:trPr>
          <w:trHeight w:val="216"/>
        </w:trPr>
        <w:tc>
          <w:tcPr>
            <w:tcW w:w="6600" w:type="dxa"/>
            <w:vAlign w:val="bottom"/>
            <w:shd w:val="clear" w:color="auto" w:fill="CCEEFF"/>
          </w:tcPr>
          <w:p>
            <w:pPr>
              <w:jc w:val="right"/>
              <w:ind w:right="6150"/>
              <w:spacing w:after="0"/>
              <w:rPr>
                <w:sz w:val="20"/>
                <w:szCs w:val="20"/>
                <w:color w:val="auto"/>
              </w:rPr>
            </w:pPr>
            <w:r>
              <w:rPr>
                <w:rFonts w:ascii="Times New Roman" w:cs="Times New Roman" w:eastAsia="Times New Roman" w:hAnsi="Times New Roman"/>
                <w:sz w:val="18"/>
                <w:szCs w:val="18"/>
                <w:color w:val="auto"/>
                <w:w w:val="94"/>
              </w:rPr>
              <w:t>2030</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8"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operating leases primarily for office and operation space.</w:t>
      </w:r>
    </w:p>
    <w:p>
      <w:pPr>
        <w:spacing w:after="0" w:line="158"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Operating lease costs were RMB235 million, RMB256 million and RMB250 million for the years ended December 31, 2023, 2024 and 2025, respectively.</w:t>
      </w:r>
    </w:p>
    <w:p>
      <w:pPr>
        <w:spacing w:after="0" w:line="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 (RMB in millions):</w:t>
      </w:r>
    </w:p>
    <w:p>
      <w:pPr>
        <w:spacing w:after="0" w:line="151"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CCEEFF"/>
            </w:tcBorders>
          </w:tcPr>
          <w:p>
            <w:pPr>
              <w:spacing w:after="0"/>
              <w:rPr>
                <w:sz w:val="15"/>
                <w:szCs w:val="15"/>
                <w:color w:val="auto"/>
              </w:rPr>
            </w:pPr>
          </w:p>
        </w:tc>
      </w:tr>
      <w:tr>
        <w:trPr>
          <w:trHeight w:val="21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the rentals included in the lease liabilities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18"/>
                <w:szCs w:val="18"/>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bl>
    <w:p>
      <w:pPr>
        <w:spacing w:after="0" w:line="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2025, supplemental consolidated balance sheet information related to leases was as follows (RMB in millions):</w:t>
      </w:r>
    </w:p>
    <w:p>
      <w:pPr>
        <w:spacing w:after="0" w:line="151"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r>
      <w:tr>
        <w:trPr>
          <w:trHeight w:val="210"/>
        </w:trPr>
        <w:tc>
          <w:tcPr>
            <w:tcW w:w="880" w:type="dxa"/>
            <w:vAlign w:val="bottom"/>
          </w:tcPr>
          <w:p>
            <w:pPr>
              <w:spacing w:after="0"/>
              <w:rPr>
                <w:sz w:val="18"/>
                <w:szCs w:val="18"/>
                <w:color w:val="auto"/>
              </w:rPr>
            </w:pPr>
          </w:p>
        </w:tc>
        <w:tc>
          <w:tcPr>
            <w:tcW w:w="6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lease liabilities included within other payables and accruals (Note 16)</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194</w:t>
            </w:r>
          </w:p>
        </w:tc>
        <w:tc>
          <w:tcPr>
            <w:tcW w:w="9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561</w:t>
            </w:r>
          </w:p>
        </w:tc>
        <w:tc>
          <w:tcPr>
            <w:tcW w:w="9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w:t>
            </w:r>
          </w:p>
        </w:tc>
      </w:tr>
      <w:tr>
        <w:trPr>
          <w:trHeight w:val="223"/>
        </w:trPr>
        <w:tc>
          <w:tcPr>
            <w:tcW w:w="88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880" w:type="dxa"/>
            <w:vAlign w:val="bottom"/>
          </w:tcPr>
          <w:p>
            <w:pPr>
              <w:spacing w:after="0"/>
              <w:rPr>
                <w:sz w:val="20"/>
                <w:szCs w:val="20"/>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34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 (RMB in millions):</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6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320" w:type="dxa"/>
            <w:vAlign w:val="bottom"/>
            <w:gridSpan w:val="2"/>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320" w:type="dxa"/>
            <w:vAlign w:val="bottom"/>
            <w:gridSpan w:val="2"/>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320" w:type="dxa"/>
            <w:vAlign w:val="bottom"/>
            <w:gridSpan w:val="2"/>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320" w:type="dxa"/>
            <w:vAlign w:val="bottom"/>
            <w:gridSpan w:val="2"/>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operating lease arrangements of the Company, primarily for offices premises, that have not yet commenced is immaterial. For the years ended December 31, 2023, 2024 and 2025, the variable lease costs, short-term lease costs and sub-lease income are immaterial.</w:t>
      </w:r>
    </w:p>
    <w:p>
      <w:pPr>
        <w:spacing w:after="0" w:line="25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tab/>
        <w:t>SHORT-TERM DEBT AND CURRENT PORTION OF LONG-TERM DEBT</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132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borrowings and current portion of long-term loans (Note 17)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12,159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Exchangeable Senior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Securitization debt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F-34</w:t>
            </w: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Loans from Commercial Banks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recorded short-term bank borrowings of RMB12.2 billion (US$1.7 billion) in the aggregate, of which RMB2.7 billion (US$387 million) were collateralized. The weighted average interest rate for the outstanding borrowings was approximately 1.5%. As of December 31, 2025, the Company has loan facilities up to RMB6.3 billion, and has drawn down RMB1.9 billion under such facilities.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short-term borrowings contain covenants including, among others, those related to certain financial metrics, liens, consolidation, merger and sale of the Company’s assets. The Company is in compliance with all of the loan covenants as of December 31, 2024 and 2025.</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Exchangeable Senior Notes</w:t>
      </w:r>
    </w:p>
    <w:p>
      <w:pPr>
        <w:spacing w:after="0" w:line="121"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On July 13, 2020, the Company issued exchangeable senior notes due 2027 (the “Exchangeable Senior Notes”) at an aggregate principal amount of US$500 million. The Exchangeable Senior Notes are due on July 1, 2027 and bears interest of 1.5% per annum, which will be paid semi-annually beginning on January 1, 2021. The Exchangeable Senior Notes may be converted, at an initial conversion rate of 24.7795 ADSs of H World Group Limited (formerly known as Huazhu Group Limited), or H World, per US$1,000 principal amount of the Notes (which represents an initial conversion price of US$40.36 per H World ADS) at each holder’s option. Since the exchange option is not indexed to the Company’s own stock, the scope exception prescribed in ASC 815-10-15-74 is not met and exchange option is subject to the derivative accounting. Therefore, the Company elects to account for and measures the Exchangeable Senior Notes in its entirety at fair value. As of December 31, 2024 and 2025, the fair value of the Exchangeable Senior Notes amounted to RMB3.9 billion and RMB4.6 billion (US$656 million), respectively. For the year ended December 31, 2024 and 2025, the change in fair value loss were RMB105 million and RMB861 million (US$123 million), respectively, which was recorded in “Other (expense)/income”.</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Since December 31, 2022, RMB4.2 billion of Exchangeable Senior Notes are reclassified as short-term debt because the holders had a non-contingent option to require the Company to repurchase for cash all or any portion of their Exchangeable Senior Notes on July 1, 2023. In addition, starting from July 1, 2023 to the Exchangeable Senior Notes’ maturity date, the holders have the right to exchange all or any portion of the notes for the ADSs of H World Group Limited that are held by the Company. Therefore, the Exchangeable Senior Notes remained as short-term classification as of December 31, 2024 and 2025, respectively.</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Securitization debt</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securitization debt represents the revolving debt securities which are collateralized by the receivables. The revolving debt securities have the term of less than 12 months with the annual interest rate from 1.8% to 3.1%.</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00"/>
          </w:cols>
          <w:pgMar w:left="320" w:top="482"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AND BALANCE</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related party transactions were as follows (RMB in millions):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CCEEFF"/>
            </w:tcBorders>
          </w:tcPr>
          <w:p>
            <w:pPr>
              <w:spacing w:after="0"/>
              <w:rPr>
                <w:sz w:val="15"/>
                <w:szCs w:val="15"/>
                <w:color w:val="auto"/>
              </w:rPr>
            </w:pPr>
          </w:p>
        </w:tc>
      </w:tr>
      <w:tr>
        <w:trPr>
          <w:trHeight w:val="20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Commission/service fee from Tongcheng Travel (a)</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Commission/service fee from H World (a)</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Commission/service fee from BTG (a)</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Service fee from Shangcheng (b)</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 to Tongcheng Travel (c)</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Lvyue (d)</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bl>
    <w:p>
      <w:pPr>
        <w:spacing w:after="0" w:line="85" w:lineRule="exact"/>
        <w:rPr>
          <w:sz w:val="20"/>
          <w:szCs w:val="20"/>
          <w:color w:val="auto"/>
        </w:rPr>
      </w:pPr>
    </w:p>
    <w:p>
      <w:pPr>
        <w:ind w:left="1080" w:hanging="532"/>
        <w:spacing w:after="0" w:line="258"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World (which has a director in common with the Company and a director who is a family member of one of the Company’s officers), BTG (an equity method investee of the Company) and Tongcheng Travel (an equity method investee of the Company), have entered into agreements with the Company, respectively, to provide hotel rooms for its end users through the Company’s platform. The commission/service fee is earned from these related parties. The Company also provides technology service to Tongcheng Travel and earns a service fee.</w:t>
      </w:r>
    </w:p>
    <w:p>
      <w:pPr>
        <w:spacing w:after="0" w:line="88" w:lineRule="exact"/>
        <w:rPr>
          <w:rFonts w:ascii="Times New Roman" w:cs="Times New Roman" w:eastAsia="Times New Roman" w:hAnsi="Times New Roman"/>
          <w:sz w:val="18"/>
          <w:szCs w:val="18"/>
          <w:color w:val="auto"/>
        </w:rPr>
      </w:pPr>
    </w:p>
    <w:p>
      <w:pPr>
        <w:ind w:left="1080" w:right="220" w:hanging="532"/>
        <w:spacing w:after="0" w:line="261"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provided Shangcheng, an equity method investee of the Company, the access to the platform of the Company for Shangcheng to provide financial services to the Company’s users. In exchange, the Company receives technology service fees from Shangcheng. In 2024 and 2025, the total technology service fees from Shangcheng amounted to RMB196 million and RMB210 million, respectively.</w:t>
      </w:r>
    </w:p>
    <w:p>
      <w:pPr>
        <w:spacing w:after="0" w:line="85"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agreements with Tongcheng Travel, under which Tongcheng Travel uses its platform to promote the hotel rooms provided by the Company’s travel suppliers. The Company paid related service fee to Tongcheng Travel.</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and 2025, Lvyue repaid RMB47 million and RMB30 million of the loan principal and interest to the Company, respectively. For the years ended December 31, 2024 and 2025, the total interest income from Lvyue amounted to RMB5 million and RMB5 million.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balances with related parties were as follows (RMB in millions):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Due from related parties, current:</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related</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 Tongcheng Travel</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2,546</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others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Non-trade related</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Lvyue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2,803</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Due to related parties, current: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related</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H World</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others</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employee benefit primarily related to the full-time employees of the PRC subsidiaries and the VIEs, including medical care, welfare subsidies, housing fund, unemployment insurance and pension benefits. The PRC subsidiaries and VIEs are required to accrue for these benefits based on certain percentages of the employees’ salaries in accordance with the relevant PRC regulations and make contributions to the state-sponsored pension and medical plans out of the amounts accrued for medical and pension benefits. The PRC government is responsible for the medical benefits and ultimate pension liability to these employees. The Company also makes payments for the benefits of employees employed by subsidiaries outside of the PRC. The total expenses recorded for such employee benefits amounted to RMB2.2 billion, RMB2.9 billion and RMB3.4 billion for the years ended December 31, 2023, 2024 and 2025 respectively.</w:t>
      </w:r>
    </w:p>
    <w:p>
      <w:pPr>
        <w:spacing w:after="0" w:line="333"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11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 In addition, upon payments of dividends by the Company to its shareholders, no Cayman Islands withholding tax will be imposed.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8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Company’s subsidiaries incorporated in Singapore are subject to Singapore tax law at the corporate tax rate at 17% on the assessable income arising in Singapore during its tax year.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subsidiaries incorporated in Hong Kong are subject to Hong Kong Profits Tax on the taxable income as reported in their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respective statutory financial statements adjusted in accordance with relevant Hong Kong tax laws. For the years 2023, 2024 and 2025, the first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HK$2 million of profits earned by one of our subsidiaries incorporated in Hong Kong was taxed at a rate of 8.25%, while the remaining profits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taxed at the 16.5% tax rate.</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Chinese Mainland</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Company’s subsidiaries and VIEs registered in the Chinese mainland are subject to PRC Enterprise Income Tax (“EIT”) on the taxable income as reported in their respective statutory financial statements adjusted in accordance with relevant PRC income tax laws.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PRC EIT laws apply a general enterprise income tax rate of 25% to both foreign-invested enterprises and domestic enterprises.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Preferential tax treatments are granted to enterprises, which conduct business in certain encouraged sectors and to enterprises otherwise classified as a High and New Technology Enterprise (“HNTE”). The HNTE certificate is effective for a period of three years. Further, preferential EIT rates are available for qualified Software Enterprises whereby entities are entitled to full exemption from EIT for two years beginning from their first profitable calendar year and a 50% reduction for the subsequent three calendar years.</w:t>
      </w:r>
    </w:p>
    <w:p>
      <w:pPr>
        <w:spacing w:after="0" w:line="180"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Certain subsidiaries and VIEs including Ctrip Computer Technology, Ctrip Travel Information, Ctrip Travel Network, Qunar Software, Qunar Beijing, Beijing Hujinxinrong Technology Co., Ltd, Ctrip Business Travel Information Service (Shanghai) Co., Ltd. and Shanghai Xielv Information Technology Co., Ltd. are qualified as HNTEs for the years ended December 31, 2023, 2024 and 2025, which entitled a preferential tax rate of 15%.</w:t>
      </w:r>
    </w:p>
    <w:p>
      <w:pPr>
        <w:spacing w:after="0" w:line="2"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Certain subsidiaries were entitled a reduced tax rate as qualified Software Enterprise for the year ended 2023 and such tax benefit expired at the end of the five-year period on December 31, 2023.</w:t>
      </w:r>
    </w:p>
    <w:p>
      <w:pPr>
        <w:spacing w:after="0" w:line="1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2001, the PRC state taxation administration (“STA”) started to implement preferential tax policy in China’s western regions, and companies located in applicable jurisdictions covered by the Western Regions Catalog are eligible to apply for a preferential income tax rate of 15% if their businesses fall within the “encouraged” category of the policy. On April 23, 2020, the Ministry of Finance, the STA, and the PRC National Development and Reform Commission (“NDRC”) jointly issued the Announcement on Renewing the Enterprise Income Tax Policy for Western Development, which reduced the revenue percentage requirement of the “encouraged” businesses to no less than 60% and would be applied from 2021 to 2030. Chengdu Ctrip, Chengdu Ctrip International, and Chengdu Information are entitled to enjoy a preferential tax rate of 15% until 2030, provided that their “encouraged” businesses account for no less than required percentage pursuant to current policies.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PRC EIT Law, effective January 1, 2008, a 10% withholding income tax is imposed for dividends distributed by foreign invested enterprises (“FIE”) to their immediate holding companies outside the Chinese mainland. A lower withholding tax rate will be applied if there is a tax treaty arrangement between the Chinese mainland and the jurisdiction of the foreign holding company. Distributions to holding companies in Hong Kong that satisfy certain requirements specified by PRC tax authorities, for example, will be subject to a 5% withholding tax rate. Furthermore, pursuant to the applicable circular and interpretations of the current EIT Law, dividends from earnings created prior to 2008 but distributed after 2008 are not subject to withholding income tax.</w:t>
      </w:r>
    </w:p>
    <w:p>
      <w:pPr>
        <w:spacing w:after="0" w:line="187" w:lineRule="exact"/>
        <w:rPr>
          <w:sz w:val="20"/>
          <w:szCs w:val="20"/>
          <w:color w:val="auto"/>
        </w:rPr>
      </w:pPr>
    </w:p>
    <w:p>
      <w:pPr>
        <w:ind w:left="120" w:right="500" w:firstLine="440"/>
        <w:spacing w:after="0" w:line="276" w:lineRule="auto"/>
        <w:rPr>
          <w:sz w:val="20"/>
          <w:szCs w:val="20"/>
          <w:color w:val="auto"/>
        </w:rPr>
      </w:pPr>
      <w:r>
        <w:rPr>
          <w:rFonts w:ascii="Times New Roman" w:cs="Times New Roman" w:eastAsia="Times New Roman" w:hAnsi="Times New Roman"/>
          <w:sz w:val="17"/>
          <w:szCs w:val="17"/>
          <w:color w:val="auto"/>
        </w:rPr>
        <w:t>From 2023, the Company decided to distribute earnings generated by certain its FIE subsidiaries in onshore PRC entities to their immediate foreign holding company in Hong Kong. For the years ended December 31, 2024 and 2025, the Company accrued RMB735 million and</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RMB558 million withholding tax expenses at 5% tax rate associated with its earnings expected to be distributed from its FIEs in the Chinese mainland to their immediate foreign holding company, respectively. As of December 31, 2024 and 2025, the Company has accrued withholding tax liabilities associated with all of its earnings expected to be distributed from its FIEs in the Chinese mainland to overseas, except for unrecognized deferred tax liabilities of RMB1.0 billion and RMB1.3 billion related to the remaining undistributed earnings that the Company still intends to indefinitely reinvest in the Chinese mainland, respectively.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model rules introducing a 15% global minimum tax rate for large multinational corporations (“Pillar Two”). Certain tax jurisdictions in which the Company operate have enacted legislations consistent with the Pillar Two model rules effective beginning from 2024. The Company have assessed the Pillar Two tax impact for entities and jurisdictions that would be impacted by the Pillar Two model rules enacted from 2024, and concluded there is no material effect on our tax provision for the years ended December 31, 2024 and 2025. The Company will continue to evaluate the potential effect of Pillar Two on future reporting periods.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82"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Income/(loss) from domestic and foreign components before income tax expenses and equity in income of affiliates (RMB in millions):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w:t>
            </w: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(loss)/ income from foreign components mainly includes the (loss)/gain from the fair value changes of equity securities investments and exchangeable senior notes, impairments for investments, share-based compensation charges, foreign exchange (loss)/gain and interest (expense)/income incurred in its overseas companies.</w:t>
      </w:r>
    </w:p>
    <w:p>
      <w:pPr>
        <w:spacing w:after="0" w:line="6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income tax expenses from domestic components for the years ended December 31, 2023, 2024 and 2025 was RMB875 million, RMB1,475 million and RMB2,742 million, respectively. The income tax expenses from foreign components for the years ended December 31, 2023, 2024 and 2025 was RMB875 million, RMB1,129 million and RMB3,073 million, respectively.</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Composition of income tax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current and deferred portion of income tax expense were as follows (RMB in millions):</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(benefit)/expense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amount of cash paid for income taxes, net of refunds received, by jurisdiction were as follows:</w:t>
      </w:r>
    </w:p>
    <w:p>
      <w:pPr>
        <w:spacing w:after="0" w:line="12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9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Foreign jurisdictions: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India</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2,073</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Foreign jurisdictions</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2,467</w:t>
            </w:r>
          </w:p>
        </w:tc>
        <w:tc>
          <w:tcPr>
            <w:tcW w:w="4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taxes, net of refunds received</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1" w:lineRule="exact"/>
        <w:rPr>
          <w:sz w:val="20"/>
          <w:szCs w:val="20"/>
          <w:color w:val="auto"/>
        </w:rPr>
      </w:pPr>
    </w:p>
    <w:p>
      <w:pPr>
        <w:ind w:left="560" w:right="180"/>
        <w:spacing w:after="0" w:line="284" w:lineRule="auto"/>
        <w:rPr>
          <w:sz w:val="20"/>
          <w:szCs w:val="20"/>
          <w:color w:val="auto"/>
        </w:rPr>
      </w:pPr>
      <w:r>
        <w:rPr>
          <w:rFonts w:ascii="Times New Roman" w:cs="Times New Roman" w:eastAsia="Times New Roman" w:hAnsi="Times New Roman"/>
          <w:sz w:val="18"/>
          <w:szCs w:val="18"/>
          <w:i w:val="1"/>
          <w:iCs w:val="1"/>
          <w:color w:val="auto"/>
        </w:rPr>
        <w:t>Cash paid for income taxes, net of refunds, during the years ended December 31, 2023 and 2024 was RMB1,290 million and RMB2,700 million, respectively.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Reconciliation of the differences between statutory tax rate and the effective tax rate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adoption of ASU 2023-09, Improvements to Income Tax Disclosures, as described in Note 2, the reconciliation between 25% which is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PRC statutory tax rate and the Company’s effective tax rate for the year ended December 31, 2025 was as follows (in millions, except percentages):</w:t>
      </w:r>
    </w:p>
    <w:p>
      <w:pPr>
        <w:spacing w:after="0" w:line="10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640" w:type="dxa"/>
            <w:vAlign w:val="bottom"/>
          </w:tcPr>
          <w:p>
            <w:pPr>
              <w:spacing w:after="0"/>
              <w:rPr>
                <w:sz w:val="15"/>
                <w:szCs w:val="15"/>
                <w:color w:val="auto"/>
              </w:rPr>
            </w:pPr>
          </w:p>
        </w:tc>
        <w:tc>
          <w:tcPr>
            <w:tcW w:w="1260" w:type="dxa"/>
            <w:vAlign w:val="bottom"/>
            <w:tcBorders>
              <w:bottom w:val="single" w:sz="8" w:color="auto"/>
            </w:tcBorders>
            <w:gridSpan w:val="3"/>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Statutory Tax Rate</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Effect of preferential tax treatments inside the Chinese mainland</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Change in fair value of equity securities investments and exchangeable senior notes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Other</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Statutory tax rate difference between Cayman and PRC</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Change in fair value of equity securities investments and exchangeable senior notes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Share-based payment awards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Tax rate difference between Indian capital gain tax and PRC statutory tax rate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Excess tax benefits related to R&amp;D expense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Other</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Withholding tax on the earnings distributed and anticipated to be remitted from the Chinese mainland</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Effective EIT rate</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5,815</w:t>
            </w:r>
          </w:p>
        </w:tc>
        <w:tc>
          <w:tcPr>
            <w:tcW w:w="0" w:type="dxa"/>
            <w:vAlign w:val="bottom"/>
          </w:tcPr>
          <w:p>
            <w:pPr>
              <w:spacing w:after="0"/>
              <w:rPr>
                <w:sz w:val="1"/>
                <w:szCs w:val="1"/>
                <w:color w:val="auto"/>
              </w:rPr>
            </w:pPr>
          </w:p>
        </w:tc>
      </w:tr>
      <w:tr>
        <w:trPr>
          <w:trHeight w:val="20"/>
        </w:trPr>
        <w:tc>
          <w:tcPr>
            <w:tcW w:w="964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F-38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reconciliation between 25% which is the PRC statutory tax rate and the Company’s effective tax rate for the years ended December 31, 2023 and 2024 in accordance with the guidance prior to the adoption of ASU 2023-09 were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6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and non-taxable income incurred</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Share-based compensation expenses</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Change in fair value of equity securities investments and exchangeable senior notes</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Others</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R&amp;D expense super deduction</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preferential tax treatments inside the Chinese mainland</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Difference in tax rates of subsidiaries outside the Chinese mainland</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 on the earnings distributed and anticipated to be remitted</w:t>
            </w:r>
          </w:p>
        </w:tc>
        <w:tc>
          <w:tcPr>
            <w:tcW w:w="6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EIT rate</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provisions for income taxes for the years ended December 31, 2023, 2024 and 2025 differ from the amounts computed by applying the EIT primarily due to preferential tax treatments enjoyed by certain subsidiaries and the VIEs of the Company. The following table sets forth the effect of preferential tax treatments on China operations: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7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56"/>
        </w:trPr>
        <w:tc>
          <w:tcPr>
            <w:tcW w:w="6320" w:type="dxa"/>
            <w:vAlign w:val="bottom"/>
          </w:tcPr>
          <w:p>
            <w:pPr>
              <w:spacing w:after="0"/>
              <w:rPr>
                <w:sz w:val="13"/>
                <w:szCs w:val="13"/>
                <w:color w:val="auto"/>
              </w:rPr>
            </w:pPr>
          </w:p>
        </w:tc>
        <w:tc>
          <w:tcPr>
            <w:tcW w:w="2880" w:type="dxa"/>
            <w:vAlign w:val="bottom"/>
            <w:gridSpan w:val="5"/>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RMB (in millions, except per share data)</w:t>
            </w:r>
          </w:p>
        </w:tc>
        <w:tc>
          <w:tcPr>
            <w:tcW w:w="60" w:type="dxa"/>
            <w:vAlign w:val="bottom"/>
          </w:tcPr>
          <w:p>
            <w:pPr>
              <w:spacing w:after="0"/>
              <w:rPr>
                <w:sz w:val="13"/>
                <w:szCs w:val="13"/>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Preferential tax treatments effect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ADS effect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ADS effect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impacts on effective tax rates from the Company’s subsidiaries with preferential tax treatment in the Chinese mainland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80" w:type="dxa"/>
            <w:vAlign w:val="bottom"/>
            <w:tcBorders>
              <w:bottom w:val="single" w:sz="8" w:color="CCEEFF"/>
            </w:tcBorders>
          </w:tcPr>
          <w:p>
            <w:pPr>
              <w:spacing w:after="0"/>
              <w:rPr>
                <w:sz w:val="15"/>
                <w:szCs w:val="15"/>
                <w:color w:val="auto"/>
              </w:rPr>
            </w:pPr>
          </w:p>
        </w:tc>
        <w:tc>
          <w:tcPr>
            <w:tcW w:w="60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Ctrip Computer Technology</w:t>
            </w:r>
          </w:p>
        </w:tc>
        <w:tc>
          <w:tcPr>
            <w:tcW w:w="920" w:type="dxa"/>
            <w:vAlign w:val="bottom"/>
            <w:tcBorders>
              <w:right w:val="single" w:sz="8" w:color="CCEEFF"/>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Ctrip Travel Information</w:t>
            </w: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Ctrip Travel Network</w:t>
            </w:r>
          </w:p>
        </w:tc>
        <w:tc>
          <w:tcPr>
            <w:tcW w:w="920" w:type="dxa"/>
            <w:vAlign w:val="bottom"/>
            <w:tcBorders>
              <w:right w:val="single" w:sz="8" w:color="CCEEFF"/>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Chengdu Information</w:t>
            </w: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Hujinxinrong Technology Co., Ltd</w:t>
            </w:r>
          </w:p>
        </w:tc>
        <w:tc>
          <w:tcPr>
            <w:tcW w:w="920" w:type="dxa"/>
            <w:vAlign w:val="bottom"/>
            <w:tcBorders>
              <w:right w:val="single" w:sz="8" w:color="CCEEFF"/>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Qunar and subsidiaries</w:t>
            </w: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right w:val="single" w:sz="8" w:color="CCEEFF"/>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various</w:t>
            </w:r>
          </w:p>
        </w:tc>
        <w:tc>
          <w:tcPr>
            <w:tcW w:w="80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Significant components of deferred tax assets and liabilities were as follows (RMB in millions):</w:t>
            </w: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92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1,454</w:t>
            </w:r>
          </w:p>
        </w:tc>
        <w:tc>
          <w:tcPr>
            <w:tcW w:w="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 carry forwards</w:t>
            </w:r>
          </w:p>
        </w:tc>
        <w:tc>
          <w:tcPr>
            <w:tcW w:w="9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1,402</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liability for rewards programs</w:t>
            </w:r>
          </w:p>
        </w:tc>
        <w:tc>
          <w:tcPr>
            <w:tcW w:w="92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370</w:t>
            </w:r>
          </w:p>
        </w:tc>
        <w:tc>
          <w:tcPr>
            <w:tcW w:w="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staff related expenses</w:t>
            </w:r>
          </w:p>
        </w:tc>
        <w:tc>
          <w:tcPr>
            <w:tcW w:w="9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394</w:t>
            </w:r>
          </w:p>
        </w:tc>
        <w:tc>
          <w:tcPr>
            <w:tcW w:w="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 of deferred tax assets</w:t>
            </w:r>
          </w:p>
        </w:tc>
        <w:tc>
          <w:tcPr>
            <w:tcW w:w="9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69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Recognition of intangible assets arise from business combinations and unrealized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6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holding gain</w:t>
            </w:r>
          </w:p>
        </w:tc>
        <w:tc>
          <w:tcPr>
            <w:tcW w:w="92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(3,363)</w:t>
            </w:r>
          </w:p>
        </w:tc>
        <w:tc>
          <w:tcPr>
            <w:tcW w:w="40" w:type="dxa"/>
            <w:vAlign w:val="bottom"/>
          </w:tcPr>
          <w:p>
            <w:pPr>
              <w:spacing w:after="0"/>
              <w:rPr>
                <w:sz w:val="20"/>
                <w:szCs w:val="20"/>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(3,391)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tax on undistributed earnings</w:t>
            </w:r>
          </w:p>
        </w:tc>
        <w:tc>
          <w:tcPr>
            <w:tcW w:w="9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(4,098)</w:t>
            </w:r>
          </w:p>
        </w:tc>
        <w:tc>
          <w:tcPr>
            <w:tcW w:w="2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7"/>
              </w:rPr>
              <w:t>(3,949)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9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(844)</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(1,194)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2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F-39</w:t>
            </w: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82" w:right="5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Movement of valuation allowances were as follows (RMB in millions):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current year</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and 2025, valuation allowance of RMB712 million and RMB876 million was mainly provided for net operating tax loss carry forwards related to certain subsidiaries and the VIEs based on the assessment that it is more likely than not that such deferred tax assets will not be realized. If events were to occur in the future that would allow the Company to realize more of its deferred tax assets than the presently recorded net amount, an adjustment would be made to the deferred tax assets that would increase income for the period when those events occurred.</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the accumulated net operating loss of RMB4.6 billion of the Company’s subsidiaries incorporated in Singapore, Hong Kong, the Netherlands, the UK, can be carried forward indefinitely to offset future taxable income. The remaining accumulated net operating loss of RMB3.3 billion mainly arose from the Company’s subsidiaries and consolidated VIEs established in the Chinese mainland and Japan, which can be carried forward to offset future taxable income with primary expiration period from 2026 to 2030.</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2025, the unrecognized tax benefit and accrual is nil.</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Tax years subject to examination by major jurisdictions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general, the PRC and the UK tax authorities have up to five years or four years to review a company’s tax filings, respectively. Accordingly, tax filings of the Company’s PRC subsidiaries and VIEs for tax years 2021 through 2025 and the Company’s UK subsidiaries for tax years 2022 through 2025 remain subject to the review by the relevant tax authorities.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16.</w:t>
        <w:tab/>
        <w:t>OTHER PAYABLES AND ACCRUALS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Components of other payables and accruals were as follows (RMB in millions):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Deposits received from travel suppliers and packaged tours users</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employees for stock option proceeds received on their behalf</w:t>
            </w:r>
          </w:p>
        </w:tc>
        <w:tc>
          <w:tcPr>
            <w:tcW w:w="7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657</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liabilities (Note 11)</w:t>
            </w:r>
          </w:p>
        </w:tc>
        <w:tc>
          <w:tcPr>
            <w:tcW w:w="7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9,661</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LONG-TERM DEBTS</w:t>
            </w: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5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320" w:type="dxa"/>
            <w:vAlign w:val="bottom"/>
            <w:gridSpan w:val="6"/>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Notes</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10,814</w:t>
            </w: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8,730</w:t>
            </w:r>
          </w:p>
        </w:tc>
        <w:tc>
          <w:tcPr>
            <w:tcW w:w="2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Securitization debt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20,134</w:t>
            </w: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11,430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fair value of the Company’s long-term debt, based on Level 2 inputs, was RMB22.8 billion and RMB14.0 billion, respectively.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2029 Cash-par Settled Convertible Senior Notes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June 2024, the Company completed an offering of US$1.5 billion in aggregate principal amount of cash-par settled convertible senior notes due 2029 (the “2029 Notes”), including the initial purchasers’ full exercise of option to purchase an additional US$200 million in aggregate principal amount of the 2029 Notes. The 2029 Notes bear interest at a rate of 0.75% per year, payable semiannually in arrears on June 15 and December 15 of each year, beginning on December 15, 2024. Debt issuance costs were US$22.5 million and are being amortized to interest expense to the put date of the 2029 Notes (June 15, 2027).</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82"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Holders may convert their 2029 Notes at their option on or after the 50th scheduled trading day before the maturity date of June 15, 2029 until the close of business on the third scheduled trading day immediately preceding the maturity date. The initial conversion rate of the 2029 Notes is 15.0462 ADSs per US$1,000 principal amount of the 2029 Notes, which is equivalent to an initial conversion price of approximately US$66.46 per ADS. The conversion rate of the Notes is subject to adjustment upon the occurrence of certain events. The 2029 Notes contemplate cash-par settlement upon conversion. Upon conversion, the Company will pay cash up to the aggregate principal amount of 2029 Notes being converted and have the right to elect to settle the conversion consideration for amounts in excess of the aggregate principal amount using cash, ADSs, or a combination of cash and ADSs.</w:t>
      </w:r>
    </w:p>
    <w:p>
      <w:pPr>
        <w:spacing w:after="0" w:line="14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7"/>
          <w:szCs w:val="17"/>
          <w:color w:val="auto"/>
        </w:rPr>
        <w:t>Each holder of the 2029 Notes has the right to require the Company to repurchase in cash for all or part of such holder’s 2029 Notes on June 15, 2027 or in the event of certain fundamental changes at a repurchase price equal to 100% of the principal amount of the 2029 Notes to be repurchased plus accrued and unpaid interest. The Company believes that the likelihood of occurrence of the fundamental change is remote. The 2029 Notes are generally not redeemable prior to the maturity date of June 15, 2029, except that the Company may, at its option, redeem all but not part of the 2029 Notes if the Company has or will become obligated to pay holders additional amount in the event of certain changes in the tax laws or if less than 10% of the aggregate principal amount of the 2029 Notes originally issued remains outstanding at such time. As of December 31, 2025, there has been no such event occurred.</w:t>
      </w:r>
    </w:p>
    <w:p>
      <w:pPr>
        <w:spacing w:after="0" w:line="144"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accounted for the respective 2029 Notes as a single instrument as a long-term debt. The debt issuance cost was recorded as reduction to the long-term debts and are amortized as interest expense using the effective interest method.</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Long-term Loans from Commercial Banks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7"/>
          <w:szCs w:val="17"/>
          <w:color w:val="auto"/>
        </w:rPr>
        <w:t>As of December 31, 2025, the Company’s long-term loans included long-term bank borrowings of RMB60 million (US$9 million) in aggregate, of which the current portion of RMB7 million was classified as short-term debt (Note 12) and the remaining RMB53 million was reported as long-term debt. The Company’s long-term bank loans were substantially credit borrowings and the weighted average interest rate for the outstanding borrowings was approximately 5.1% as of December 31, 2025. The Company was in compliance with the applicable financial covenants with respect to certain financial metrics as of December 31, 2025.</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the long-term loans will be due according to the following schedule (RMB in millions):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Securitization Debt</w:t>
      </w:r>
    </w:p>
    <w:p>
      <w:pPr>
        <w:spacing w:after="0" w:line="121" w:lineRule="exact"/>
        <w:rPr>
          <w:sz w:val="20"/>
          <w:szCs w:val="20"/>
          <w:color w:val="auto"/>
        </w:rPr>
      </w:pPr>
    </w:p>
    <w:p>
      <w:pPr>
        <w:ind w:left="120" w:right="440" w:firstLine="440"/>
        <w:spacing w:after="0" w:line="281" w:lineRule="auto"/>
        <w:rPr>
          <w:sz w:val="20"/>
          <w:szCs w:val="20"/>
          <w:color w:val="auto"/>
        </w:rPr>
      </w:pPr>
      <w:r>
        <w:rPr>
          <w:rFonts w:ascii="Times New Roman" w:cs="Times New Roman" w:eastAsia="Times New Roman" w:hAnsi="Times New Roman"/>
          <w:sz w:val="17"/>
          <w:szCs w:val="17"/>
          <w:color w:val="auto"/>
        </w:rPr>
        <w:t>As of December 31, 2025, securitization debt represents the revolving debt securities which are collateralized by the receivable. The revolving debt securities have the terms ranged from 1 year to 3 years with the annual interest rate from 1.8% to 2.8%.</w:t>
      </w:r>
    </w:p>
    <w:p>
      <w:pPr>
        <w:spacing w:after="0" w:line="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80"/>
          </w:cols>
          <w:pgMar w:left="320" w:top="482"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and diluted earnings per share were calculated as follows (RMB in millions, except for share and per share data):</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Trip.com Group Limited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17,067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Eliminate the dilutive effect of interest expense of convertible notes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 for diluted earnings per share</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2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17,068</w:t>
            </w:r>
          </w:p>
        </w:tc>
        <w:tc>
          <w:tcPr>
            <w:tcW w:w="2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ordinary share - weighted average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ordinary shares outstanding</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652,859,211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654,035,399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657,754,190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convertible notes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share options and RSUs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18,113,964</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34,586,733</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40,106,835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earnings per ordinary share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671,062,240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688,704,882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698,378,891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earnings per ADS</w:t>
            </w:r>
          </w:p>
        </w:tc>
        <w:tc>
          <w:tcPr>
            <w:tcW w:w="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ADS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the convertible senior notes were included in the computation of diluted EPS in 2023, 2024 and 2025.</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had securities which could potentially dilute basic earnings per share in the future, which were excluded from the computation of diluted earnings per share as their effects would have been anti-dilutive. Such weighted average numbers of ordinary shares outstanding are as following:</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5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weighted average stock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4,583,793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837,301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1,225,887</w:t>
            </w:r>
          </w:p>
        </w:tc>
        <w:tc>
          <w:tcPr>
            <w:tcW w:w="6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Capital commitments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outstanding capital commitments totaling RMB25 million, which consisted of capital expenditures of property, equipment and software.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Deposits under guarantee arrangement</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its air ticketing business, the Company is required by an affiliate of the Civil Aviation Administration of China (“CAAC”) and the International Air Transport Association (“IATA”) to enter into guarantee arrangements and to pay deposits of which the amount is indexed to the air ticket the Company could issue. The unused deposits are repaid at the end of the guaranteed period on an annual basis. As of December 31, 2025, the total quota of the air tickets that the Company was entitled to issue was up to RMB1.5 billion. The total amount of the deposit the Company paid was RMB159 million.</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Based on the guarantee arrangements, the maximum amount of future payments of the Company to issue air tickets under the guarantee arrangements is approximately RMB1.3 billion. Such quota is not considered a financial guarantee since the issuance of air ticketing is at the discretion of the Company in the normal course of business. The Company will be liable to pay only when it issues the air tickets to its users and such payable is included in the accounts payable. Therefore, the Company believes the guarantee arrangements do not constitute any contractual and constructive obligation of the Company and has not recorded any liability beyond the amount of the tickets that have already been issued.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82"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is incorporated in the Cayman Islands and is considered as a foreign entity under PRC laws. Due to the restrictions on foreign ownership of the value-added telecommunications business, the Company conducts these businesses partly through various VIEs. These VIEs hold the licenses and approvals that are essential for the Company’s business operations. In the opinion of the Company’s PRC legal counsel, the current ownership structures and the contractual arrangements with these VIEs and their shareholders as well as the operations of these VIEs are in compliance with all existing PRC laws, rules and regulations. However, there may be changes and other developments in PRC laws and regulations. Accordingly, the Company cannot be assured that PRC government authorities will not take a view in the future contrary to the opinion of the Company’s PRC legal counsel. If the current ownership structures of the Company and its contractual arrangements with VIEs were found to be in violation of any existing or future PRC laws or regulations, the Company may be required to restructure its ownership structure and operations in China to comply with changing and new PRC laws and regulations.</w:t>
      </w:r>
    </w:p>
    <w:p>
      <w:pPr>
        <w:spacing w:after="0" w:line="188"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In January 2026, the Company received a notice of investigation from the State Administration for Market Regulation (“SAMR”) that it had commenced an investigation into whether the Company has abused or is abusing a dominant market position to engage in monopolistic conduct pursuant to the PRC Anti-Monopoly Law. As of the issuance date of the consolidated financial statements for the year ended December 31, 2025, the investigation is ongoing. The Company is unable to predict the timing, outcome or consequences of the investigation, or estimate the possible loss, if any, associated with the investigation. The SAMR’s investigation findings could result in a significant fine, other financial penalties and/or changes to the Company’s business practices and may have a material adverse effect on the Company’s consolidated financial position, results of operations, or cash flows.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March 2026, the Company and certain of the Company’s current officers and directors were named as defendants in a putative securities class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action filed in the United States District Court for the Eastern District of New York, captioned De Wilde v. Trip.com Group Limited et al., Case No.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2:26-cv-01420-ST (E.D.N.Y.). The plaintiff in this case makes allegations arising out of the January 2026 notice the Company received that the SAMR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had commenced an investigation of the Company under the PRC Anti-Monopoly Law. Because of that notice, the plaintiff alleges that certain statements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Company’s annual reports for the fiscal year ended December 31, 2023 and 2024, respectively, were false or misleading, in violation of Sections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10(b) and 20(a) of the U.S. Securities Exchange Act of 1934, and Rule 10b-5 promulgated thereunder. As the case remains in its preliminary stage,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is unable to predict its timing, outcome, or consequences, and cannot conclude at this point whether the Company will be subject to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liability or damages.</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Except for the above, there are no legal proceedings and litigations that have in the recent past had a material impact on the Company’s financial position, results of operations or cash flows.</w:t>
      </w:r>
    </w:p>
    <w:p>
      <w:pPr>
        <w:spacing w:after="0" w:line="306"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revenue by geographic area, the Greater China and all other countries, based on the geographic location of its Online Channels for the years ended December 31, 2023, 2024 and 2025(RMB in millions). No revenue result from an individual country other than Greater China accounted for more than 10% of revenue for the presented years.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Greater China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45,656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51,700</w:t>
            </w:r>
          </w:p>
        </w:tc>
        <w:tc>
          <w:tcPr>
            <w:tcW w:w="6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60" w:type="dxa"/>
            <w:vAlign w:val="bottom"/>
            <w:shd w:val="clear" w:color="auto" w:fill="CCEEFF"/>
          </w:tcPr>
          <w:p>
            <w:pPr>
              <w:spacing w:after="0"/>
              <w:rPr>
                <w:sz w:val="18"/>
                <w:szCs w:val="18"/>
                <w:color w:val="auto"/>
              </w:rPr>
            </w:pPr>
          </w:p>
        </w:tc>
      </w:tr>
      <w:tr>
        <w:trPr>
          <w:trHeight w:val="223"/>
        </w:trPr>
        <w:tc>
          <w:tcPr>
            <w:tcW w:w="70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44,562</w:t>
            </w: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53,377</w:t>
            </w: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62,510</w:t>
            </w:r>
          </w:p>
        </w:tc>
        <w:tc>
          <w:tcPr>
            <w:tcW w:w="6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2026, the Company received a notice of investigation from the SAMR. For details, please refer to the Note 19.</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addition, in March 2026, the Company and certain of the Company’s current officers and directors were named as defendants in a putative securities class action filed in the United States District Court for the Eastern District of New York, captioned De Wilde v. Trip.com Group Limited et al., Case No. 2:26-cv-01420-ST (E.D.N.Y.). For details, please refer to the Note 19.</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82" w:right="45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TECHNICAL CONSULTING AND SERVICES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Technical Consulting and Services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in Shanghai, the People’s Republic of</w:t>
      </w:r>
    </w:p>
    <w:p>
      <w:pPr>
        <w:spacing w:after="0" w:line="31" w:lineRule="exact"/>
        <w:rPr>
          <w:sz w:val="20"/>
          <w:szCs w:val="20"/>
          <w:color w:val="auto"/>
        </w:rPr>
      </w:pPr>
    </w:p>
    <w:p>
      <w:pPr>
        <w:ind w:left="4"/>
        <w:spacing w:after="0"/>
        <w:tabs>
          <w:tab w:leader="none" w:pos="2484" w:val="left"/>
        </w:tabs>
        <w:rPr>
          <w:sz w:val="20"/>
          <w:szCs w:val="20"/>
          <w:color w:val="auto"/>
        </w:rPr>
      </w:pPr>
      <w:r>
        <w:rPr>
          <w:rFonts w:ascii="Times New Roman" w:cs="Times New Roman" w:eastAsia="Times New Roman" w:hAnsi="Times New Roman"/>
          <w:sz w:val="18"/>
          <w:szCs w:val="18"/>
          <w:color w:val="auto"/>
        </w:rPr>
        <w:t>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xml:space="preserve">”) as of              </w:t>
        <w:tab/>
        <w:t>by and between the following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989965</wp:posOffset>
            </wp:positionH>
            <wp:positionV relativeFrom="paragraph">
              <wp:posOffset>-19050</wp:posOffset>
            </wp:positionV>
            <wp:extent cx="571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88" w:lineRule="exact"/>
        <w:rPr>
          <w:sz w:val="20"/>
          <w:szCs w:val="20"/>
          <w:color w:val="auto"/>
        </w:rPr>
      </w:pPr>
    </w:p>
    <w:p>
      <w:pPr>
        <w:ind w:left="544" w:hanging="544"/>
        <w:spacing w:after="0"/>
        <w:tabs>
          <w:tab w:leader="none" w:pos="544"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-5080</wp:posOffset>
            </wp:positionV>
            <wp:extent cx="9137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10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Address: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-7620</wp:posOffset>
            </wp:positionV>
            <wp:extent cx="9137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107" w:lineRule="exact"/>
        <w:rPr>
          <w:sz w:val="20"/>
          <w:szCs w:val="20"/>
          <w:color w:val="auto"/>
        </w:rPr>
      </w:pPr>
    </w:p>
    <w:p>
      <w:pPr>
        <w:ind w:left="544" w:hanging="544"/>
        <w:spacing w:after="0"/>
        <w:tabs>
          <w:tab w:leader="none" w:pos="54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 xml:space="preserve">:                       </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-213360</wp:posOffset>
            </wp:positionV>
            <wp:extent cx="9137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913765" cy="8890"/>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-7620</wp:posOffset>
            </wp:positionV>
            <wp:extent cx="9137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30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35" w:lineRule="exact"/>
        <w:rPr>
          <w:sz w:val="20"/>
          <w:szCs w:val="20"/>
          <w:color w:val="auto"/>
        </w:rPr>
      </w:pPr>
    </w:p>
    <w:p>
      <w:pPr>
        <w:ind w:left="544" w:right="20" w:hanging="544"/>
        <w:spacing w:after="0" w:line="282" w:lineRule="auto"/>
        <w:tabs>
          <w:tab w:leader="none" w:pos="5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 owned enterprise duly incorporated and validly existing under the PRC laws, having the relevant resources to provide Party B with the technical consulting and services.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limited liability company duly incorporated and validly existing under the PRC laws.</w:t>
      </w:r>
    </w:p>
    <w:p>
      <w:pPr>
        <w:spacing w:after="0" w:line="130" w:lineRule="exact"/>
        <w:rPr>
          <w:rFonts w:ascii="Times New Roman" w:cs="Times New Roman" w:eastAsia="Times New Roman" w:hAnsi="Times New Roman"/>
          <w:sz w:val="18"/>
          <w:szCs w:val="18"/>
          <w:color w:val="auto"/>
        </w:rPr>
      </w:pPr>
    </w:p>
    <w:p>
      <w:pPr>
        <w:ind w:left="544" w:right="200" w:hanging="544"/>
        <w:spacing w:after="0" w:line="266" w:lineRule="auto"/>
        <w:tabs>
          <w:tab w:leader="none" w:pos="5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intends to entrust Party A, and Party A agrees to accept Party B’s entrustment, to provide exclusive technical consulting and related services to Party B by utilizing Party A’s strengths in human resources, technology and information during the term of this Agreement. Party B agrees to only accept such technical consulting and services provided by Party A.</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Upon mutual consultation, the Parties hereby agree as follows:</w:t>
      </w:r>
    </w:p>
    <w:p>
      <w:pPr>
        <w:spacing w:after="0" w:line="252" w:lineRule="exact"/>
        <w:rPr>
          <w:sz w:val="20"/>
          <w:szCs w:val="20"/>
          <w:color w:val="auto"/>
        </w:rPr>
      </w:pPr>
    </w:p>
    <w:p>
      <w:pPr>
        <w:ind w:left="424" w:hanging="424"/>
        <w:spacing w:after="0"/>
        <w:tabs>
          <w:tab w:leader="none" w:pos="42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Consulting and Service; Sole and Exclusive Rights and Interests</w:t>
      </w:r>
    </w:p>
    <w:p>
      <w:pPr>
        <w:spacing w:after="0" w:line="135" w:lineRule="exact"/>
        <w:rPr>
          <w:sz w:val="20"/>
          <w:szCs w:val="20"/>
          <w:color w:val="auto"/>
        </w:rPr>
      </w:pPr>
    </w:p>
    <w:p>
      <w:pPr>
        <w:ind w:left="424" w:right="4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1.1</w:t>
        <w:tab/>
        <w:t xml:space="preserve">During the term of this Agreement, Party A agrees to provide Party B with relevant technical consulting and services (see details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attached hereto) as Party B’s exclusive consulting and services provider subject to the terms and conditions hereof.</w:t>
      </w:r>
    </w:p>
    <w:p>
      <w:pPr>
        <w:spacing w:after="0" w:line="67" w:lineRule="exact"/>
        <w:rPr>
          <w:sz w:val="20"/>
          <w:szCs w:val="20"/>
          <w:color w:val="auto"/>
        </w:rPr>
      </w:pPr>
    </w:p>
    <w:p>
      <w:pPr>
        <w:ind w:left="424" w:right="18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1.2</w:t>
        <w:tab/>
        <w:t>During the term of this Agreement, Party B agrees to hereby irrevocably appoint and designate Party A as its exclusive technical consulting and services provider and agrees to accept the technical consulting and services provided by Party A. Party B further agrees that during the term hereof, it will not accept from any third party, directly or indirectly, any other technical consulting and services the same as or similar to those provided hereunder, nor will Party B enter into any similar service agreement with any third party, unless otherwise agreed by Party A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0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Party A shall enjoy sole and exclusive rights and interests in any and all rights, ownership, interests and intellectual property rights arising from</w:t>
            </w:r>
          </w:p>
        </w:tc>
      </w:tr>
      <w:tr>
        <w:trPr>
          <w:trHeight w:val="216"/>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performance of this Agreement, including but not limited to copyrights, patent rights, technical know-how, trade secrets, etc., whether</w:t>
            </w:r>
          </w:p>
        </w:tc>
      </w:tr>
      <w:tr>
        <w:trPr>
          <w:trHeight w:val="216"/>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developed by Party A or Party B based on Party A’s intellectual property rights. Unless otherwise expressly provided herein, Party B shall have</w:t>
            </w:r>
          </w:p>
        </w:tc>
      </w:tr>
      <w:tr>
        <w:trPr>
          <w:trHeight w:val="234"/>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 rights to each of the foregoing.</w:t>
            </w:r>
          </w:p>
        </w:tc>
      </w:tr>
      <w:tr>
        <w:trPr>
          <w:trHeight w:val="31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10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Party A has the right to designate and appoint, at its sole discretion, any of its Affiliates to provide any service set forth herein without obtaining</w:t>
            </w:r>
          </w:p>
        </w:tc>
      </w:tr>
      <w:tr>
        <w:trPr>
          <w:trHeight w:val="216"/>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any form of consents or confirmations from Party B. The “Affiliates” referred to in this paragraph shall include, without limitation,</w:t>
            </w:r>
          </w:p>
        </w:tc>
      </w:tr>
      <w:tr>
        <w:trPr>
          <w:trHeight w:val="194"/>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0200" w:type="dxa"/>
            <w:vAlign w:val="bottom"/>
            <w:gridSpan w:val="4"/>
          </w:tcPr>
          <w:p>
            <w:pPr>
              <w:ind w:left="80"/>
              <w:spacing w:after="0" w:line="194"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20" w:type="dxa"/>
            <w:vAlign w:val="bottom"/>
            <w:gridSpan w:val="2"/>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601"/>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107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Calculation and Payment of the Consulting and Service Fee</w:t>
            </w:r>
          </w:p>
        </w:tc>
      </w:tr>
      <w:tr>
        <w:trPr>
          <w:trHeight w:val="31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7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The Parties agree that the consulting and service fees (hereinafter referred to as the “</w:t>
            </w:r>
            <w:r>
              <w:rPr>
                <w:rFonts w:ascii="Times New Roman" w:cs="Times New Roman" w:eastAsia="Times New Roman" w:hAnsi="Times New Roman"/>
                <w:sz w:val="18"/>
                <w:szCs w:val="18"/>
                <w:b w:val="1"/>
                <w:bCs w:val="1"/>
                <w:color w:val="auto"/>
              </w:rPr>
              <w:t>Service Fees</w:t>
            </w:r>
            <w:r>
              <w:rPr>
                <w:rFonts w:ascii="Times New Roman" w:cs="Times New Roman" w:eastAsia="Times New Roman" w:hAnsi="Times New Roman"/>
                <w:sz w:val="18"/>
                <w:szCs w:val="18"/>
                <w:color w:val="auto"/>
              </w:rPr>
              <w:t>”) hereunder shall be determined based upon the</w:t>
            </w:r>
          </w:p>
        </w:tc>
      </w:tr>
      <w:tr>
        <w:trPr>
          <w:trHeight w:val="216"/>
        </w:trPr>
        <w:tc>
          <w:tcPr>
            <w:tcW w:w="320" w:type="dxa"/>
            <w:vAlign w:val="bottom"/>
          </w:tcPr>
          <w:p>
            <w:pPr>
              <w:spacing w:after="0"/>
              <w:rPr>
                <w:sz w:val="18"/>
                <w:szCs w:val="18"/>
                <w:color w:val="auto"/>
              </w:rPr>
            </w:pPr>
          </w:p>
        </w:tc>
        <w:tc>
          <w:tcPr>
            <w:tcW w:w="107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services rendered by Party A as entrusted, and Party A may, at its sole reasonable discretion, decide the amount and payment method of the</w:t>
            </w:r>
          </w:p>
        </w:tc>
      </w:tr>
      <w:tr>
        <w:trPr>
          <w:trHeight w:val="194"/>
        </w:trPr>
        <w:tc>
          <w:tcPr>
            <w:tcW w:w="320" w:type="dxa"/>
            <w:vAlign w:val="bottom"/>
          </w:tcPr>
          <w:p>
            <w:pPr>
              <w:spacing w:after="0"/>
              <w:rPr>
                <w:sz w:val="16"/>
                <w:szCs w:val="16"/>
                <w:color w:val="auto"/>
              </w:rPr>
            </w:pPr>
          </w:p>
        </w:tc>
        <w:tc>
          <w:tcPr>
            <w:tcW w:w="10700" w:type="dxa"/>
            <w:vAlign w:val="bottom"/>
            <w:gridSpan w:val="6"/>
          </w:tcPr>
          <w:p>
            <w:pPr>
              <w:ind w:left="100"/>
              <w:spacing w:after="0" w:line="194" w:lineRule="exact"/>
              <w:rPr>
                <w:sz w:val="20"/>
                <w:szCs w:val="20"/>
                <w:color w:val="auto"/>
              </w:rPr>
            </w:pPr>
            <w:r>
              <w:rPr>
                <w:rFonts w:ascii="Times New Roman" w:cs="Times New Roman" w:eastAsia="Times New Roman" w:hAnsi="Times New Roman"/>
                <w:sz w:val="18"/>
                <w:szCs w:val="18"/>
                <w:color w:val="auto"/>
              </w:rPr>
              <w:t>Service Fees payable by Party B. The calculation and payment method of the Service Fees are set out in Exhibit 2 attached hereto.</w:t>
            </w:r>
          </w:p>
        </w:tc>
      </w:tr>
      <w:tr>
        <w:trPr>
          <w:trHeight w:val="20"/>
        </w:trPr>
        <w:tc>
          <w:tcPr>
            <w:tcW w:w="320" w:type="dxa"/>
            <w:vAlign w:val="bottom"/>
          </w:tcPr>
          <w:p>
            <w:pPr>
              <w:spacing w:after="0" w:line="20" w:lineRule="exact"/>
              <w:rPr>
                <w:sz w:val="1"/>
                <w:szCs w:val="1"/>
                <w:color w:val="auto"/>
              </w:rPr>
            </w:pPr>
          </w:p>
        </w:tc>
        <w:tc>
          <w:tcPr>
            <w:tcW w:w="7640" w:type="dxa"/>
            <w:vAlign w:val="bottom"/>
            <w:gridSpan w:val="4"/>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4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7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If at any time throughout the existence of this Agreement, Party A decides, at its own reasonable judgment, to adjust the calculation and payment</w:t>
            </w:r>
          </w:p>
        </w:tc>
      </w:tr>
      <w:tr>
        <w:trPr>
          <w:trHeight w:val="216"/>
        </w:trPr>
        <w:tc>
          <w:tcPr>
            <w:tcW w:w="320" w:type="dxa"/>
            <w:vAlign w:val="bottom"/>
          </w:tcPr>
          <w:p>
            <w:pPr>
              <w:spacing w:after="0"/>
              <w:rPr>
                <w:sz w:val="18"/>
                <w:szCs w:val="18"/>
                <w:color w:val="auto"/>
              </w:rPr>
            </w:pPr>
          </w:p>
        </w:tc>
        <w:tc>
          <w:tcPr>
            <w:tcW w:w="107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method of the Service Fees for any reason whatsoever, it has the right to notify Party B of such adjustment with a five (5) days’ prior written</w:t>
            </w:r>
          </w:p>
        </w:tc>
      </w:tr>
      <w:tr>
        <w:trPr>
          <w:trHeight w:val="234"/>
        </w:trPr>
        <w:tc>
          <w:tcPr>
            <w:tcW w:w="320" w:type="dxa"/>
            <w:vAlign w:val="bottom"/>
          </w:tcPr>
          <w:p>
            <w:pPr>
              <w:spacing w:after="0"/>
              <w:rPr>
                <w:sz w:val="20"/>
                <w:szCs w:val="20"/>
                <w:color w:val="auto"/>
              </w:rPr>
            </w:pPr>
          </w:p>
        </w:tc>
        <w:tc>
          <w:tcPr>
            <w:tcW w:w="107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notice without any need to obtain Party B’s consent.</w:t>
            </w:r>
          </w:p>
        </w:tc>
      </w:tr>
      <w:tr>
        <w:trPr>
          <w:trHeight w:val="581"/>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107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tc>
      </w:tr>
      <w:tr>
        <w:trPr>
          <w:trHeight w:val="3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7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Party A hereby represents and warrants that:</w:t>
            </w:r>
          </w:p>
        </w:tc>
      </w:tr>
      <w:tr>
        <w:trPr>
          <w:trHeight w:val="338"/>
        </w:trPr>
        <w:tc>
          <w:tcPr>
            <w:tcW w:w="320" w:type="dxa"/>
            <w:vAlign w:val="bottom"/>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0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it is a wholly foreign-owned enterprise duly incorporated and validly existing under the laws of the PRC;</w:t>
            </w:r>
          </w:p>
        </w:tc>
      </w:tr>
      <w:tr>
        <w:trPr>
          <w:trHeight w:val="319"/>
        </w:trPr>
        <w:tc>
          <w:tcPr>
            <w:tcW w:w="320" w:type="dxa"/>
            <w:vAlign w:val="bottom"/>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10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it executes and performs this Agreement within the scope of its corporate power and business; it has obtained necessary corporate action</w:t>
            </w:r>
          </w:p>
        </w:tc>
      </w:tr>
      <w:tr>
        <w:trPr>
          <w:trHeight w:val="216"/>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and appropriate authorization and necessary consent and approvals from third parties and government agency, and its execution and</w:t>
            </w:r>
          </w:p>
        </w:tc>
      </w:tr>
      <w:tr>
        <w:trPr>
          <w:trHeight w:val="234"/>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performance of this Agreement will not constitute a breach of any restrictions by laws or contracts by which it is bound or affected; and</w:t>
            </w:r>
          </w:p>
        </w:tc>
      </w:tr>
      <w:tr>
        <w:trPr>
          <w:trHeight w:val="319"/>
        </w:trPr>
        <w:tc>
          <w:tcPr>
            <w:tcW w:w="320" w:type="dxa"/>
            <w:vAlign w:val="bottom"/>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10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This Agreement, once executed, constitutes its lawful, effective and binding obligation, which may be enforced pursuant to the terms</w:t>
            </w:r>
          </w:p>
        </w:tc>
      </w:tr>
      <w:tr>
        <w:trPr>
          <w:trHeight w:val="234"/>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hereof.</w:t>
            </w:r>
          </w:p>
        </w:tc>
      </w:tr>
      <w:tr>
        <w:trPr>
          <w:trHeight w:val="33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7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Party B hereby represents and warrants that:</w:t>
            </w:r>
          </w:p>
        </w:tc>
      </w:tr>
      <w:tr>
        <w:trPr>
          <w:trHeight w:val="338"/>
        </w:trPr>
        <w:tc>
          <w:tcPr>
            <w:tcW w:w="320" w:type="dxa"/>
            <w:vAlign w:val="bottom"/>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0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it is a limited liability company duly incorporated and validly existing under the laws of the PRC;</w:t>
            </w:r>
          </w:p>
        </w:tc>
      </w:tr>
      <w:tr>
        <w:trPr>
          <w:trHeight w:val="243"/>
        </w:trPr>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94" w:name="page195"/>
    <w:bookmarkEnd w:id="194"/>
    <w:p>
      <w:pPr>
        <w:ind w:left="964" w:right="200" w:hanging="532"/>
        <w:spacing w:after="0" w:line="266" w:lineRule="auto"/>
        <w:tabs>
          <w:tab w:leader="none" w:pos="96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executes and performs this Agreement within the scope of its corporate power and business; it has obtained necessary corporate action and appropriate authorization and necessary consent and approvals from third parties and government agency, and its execution and performance of this Agreement will not constitute a breach of any restrictions by laws or contracts by which it is bound or affected; and</w:t>
      </w:r>
    </w:p>
    <w:p>
      <w:pPr>
        <w:spacing w:after="0" w:line="81" w:lineRule="exact"/>
        <w:rPr>
          <w:rFonts w:ascii="Times New Roman" w:cs="Times New Roman" w:eastAsia="Times New Roman" w:hAnsi="Times New Roman"/>
          <w:sz w:val="18"/>
          <w:szCs w:val="18"/>
          <w:color w:val="auto"/>
        </w:rPr>
      </w:pPr>
    </w:p>
    <w:p>
      <w:pPr>
        <w:ind w:left="964" w:right="460" w:hanging="532"/>
        <w:spacing w:after="0" w:line="282" w:lineRule="auto"/>
        <w:tabs>
          <w:tab w:leader="none" w:pos="96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once executed, constitutes its lawful, effective and binding obligation, which may be enforced pursuant to the terms hereof.</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5" w:lineRule="exact"/>
        <w:rPr>
          <w:sz w:val="20"/>
          <w:szCs w:val="20"/>
          <w:color w:val="auto"/>
        </w:rPr>
      </w:pPr>
    </w:p>
    <w:p>
      <w:pPr>
        <w:ind w:left="424"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4.1</w:t>
        <w:tab/>
        <w:t>Both Parties acknowledge and confirm that any oral or written materials exchanged by and between the Parties in connection with this Agreement are confidential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Both Parties shall keep secret of all Confidential Information and not disclose, offer or transfer any such documents to any third party without prior written consent from the other Party, except for such information: (a) as are known or will be known by the public (except by disclosure of the receiving party without authorization); (b) as are required to be disclosed in accordance with applicable laws or stock exchange rules or regulations; or (c) as are required to be disclosed by any Party to its legal counsel or financial consultant for the purpose of the transaction of this Agreement, provided that such legal counsel or financial consultant shall also be subject to the confidentiality obligation similar to that stated hereof. Any disclosure by employees or agencies employed by any Party shall be deemed the disclosure of such Party and such Party shall assume the liabilities for its breach of contract pursuant to this Agreement.</w:t>
      </w:r>
    </w:p>
    <w:p>
      <w:pPr>
        <w:spacing w:after="0" w:line="97" w:lineRule="exact"/>
        <w:rPr>
          <w:sz w:val="20"/>
          <w:szCs w:val="20"/>
          <w:color w:val="auto"/>
        </w:rPr>
      </w:pPr>
    </w:p>
    <w:p>
      <w:pPr>
        <w:ind w:left="424" w:right="10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4.2</w:t>
        <w:tab/>
        <w:t>Party B further agrees to try its best to take various reasonable measures to keep secret of Party A’s Confidential Information that it may be aware of or have access to due to its acceptance of Party A’s exclusive technical consulting and services. Upon termination of this Agreement, Party B shall, upon Party A’s request, either return to Party A or destroy by itself all the documents, materials or software containing the Confidential Information and shall delete any such Confidential Information from all the relevant memory devices and cease to use such Confidential Information.</w:t>
      </w:r>
    </w:p>
    <w:p>
      <w:pPr>
        <w:spacing w:after="0" w:line="8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4.3</w:t>
        <w:tab/>
        <w:t>Both Parties agree that this Article 4 shall survive even if this Agreement is amended, cancelled, terminated or held impractical.</w:t>
      </w:r>
    </w:p>
    <w:p>
      <w:pPr>
        <w:spacing w:after="0" w:line="370"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A’s Financial Support</w:t>
      </w:r>
    </w:p>
    <w:p>
      <w:pPr>
        <w:spacing w:after="0" w:line="121"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To ensure that the cash flow requirements with regard to the business operations of Party B are met and/or to set off loss accrued during such operations, Party A agrees that it shall, to the extent permitted under PRC law, either by itself or through its designated party, provide financial support to Party B, including without limitation, in the form of entrusted bank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195" w:name="page196"/>
    <w:bookmarkEnd w:id="195"/>
    <w:p>
      <w:pPr>
        <w:ind w:left="424" w:hanging="424"/>
        <w:spacing w:after="0"/>
        <w:tabs>
          <w:tab w:leader="none" w:pos="424"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Liability for Breach of Contract</w:t>
      </w:r>
    </w:p>
    <w:p>
      <w:pPr>
        <w:spacing w:after="0" w:line="131" w:lineRule="exact"/>
        <w:rPr>
          <w:sz w:val="20"/>
          <w:szCs w:val="20"/>
          <w:color w:val="auto"/>
        </w:rPr>
      </w:pPr>
    </w:p>
    <w:p>
      <w:pPr>
        <w:ind w:left="424" w:right="240" w:hanging="431"/>
        <w:spacing w:after="0" w:line="259" w:lineRule="auto"/>
        <w:tabs>
          <w:tab w:leader="none" w:pos="404" w:val="left"/>
        </w:tabs>
        <w:rPr>
          <w:sz w:val="20"/>
          <w:szCs w:val="20"/>
          <w:color w:val="auto"/>
        </w:rPr>
      </w:pPr>
      <w:r>
        <w:rPr>
          <w:rFonts w:ascii="Times New Roman" w:cs="Times New Roman" w:eastAsia="Times New Roman" w:hAnsi="Times New Roman"/>
          <w:sz w:val="18"/>
          <w:szCs w:val="18"/>
          <w:color w:val="auto"/>
        </w:rPr>
        <w:t>6.1</w:t>
        <w:tab/>
        <w:t>If either party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breaches any provision of this Agreement, which causes damage to the other Party (“</w:t>
      </w:r>
      <w:r>
        <w:rPr>
          <w:rFonts w:ascii="Times New Roman" w:cs="Times New Roman" w:eastAsia="Times New Roman" w:hAnsi="Times New Roman"/>
          <w:sz w:val="18"/>
          <w:szCs w:val="18"/>
          <w:b w:val="1"/>
          <w:bCs w:val="1"/>
          <w:color w:val="auto"/>
        </w:rPr>
        <w:t>Non-defaulting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the Non-defaulting Party may notify the Defaulting Party in writing and request it to immediately rectify and correct such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if the Defaulting Party fails to take any action satisfactory to the Non-defaulting Party to rectify and correct such breach within fifteen</w:t>
      </w:r>
    </w:p>
    <w:p>
      <w:pPr>
        <w:ind w:left="424" w:right="540" w:firstLine="8"/>
        <w:spacing w:after="0" w:line="260" w:lineRule="auto"/>
        <w:tabs>
          <w:tab w:leader="none" w:pos="76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days upon the issuance of the written notice by the Non-defaulting Party, the Non-defaulting Party may promptly take actions provided in this Agreement or take other remedies in accordance with laws.</w:t>
      </w:r>
    </w:p>
    <w:p>
      <w:pPr>
        <w:spacing w:after="0" w:line="87"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6.2</w:t>
        <w:tab/>
        <w:t>Party B further agrees to indemnify and hold Party A harmless from any losses, damage, obligations and expenses incurred or arising from the contents of the technical consulting and services that Party B requires Party A to provide, or resulting from any litigations, claims or other requests filed against Party A.</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6.3</w:t>
        <w:tab/>
        <w:t>Both Parties agree that this Article 6 shall survive even if this Agreement is amended, cancelled, terminated or held impractical.</w:t>
      </w:r>
    </w:p>
    <w:p>
      <w:pPr>
        <w:spacing w:after="0" w:line="370" w:lineRule="exact"/>
        <w:rPr>
          <w:sz w:val="20"/>
          <w:szCs w:val="20"/>
          <w:color w:val="auto"/>
        </w:rPr>
      </w:pPr>
    </w:p>
    <w:p>
      <w:pPr>
        <w:ind w:left="424" w:hanging="424"/>
        <w:spacing w:after="0"/>
        <w:tabs>
          <w:tab w:leader="none" w:pos="42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and Term</w:t>
      </w:r>
    </w:p>
    <w:p>
      <w:pPr>
        <w:spacing w:after="0" w:line="135" w:lineRule="exact"/>
        <w:rPr>
          <w:sz w:val="20"/>
          <w:szCs w:val="20"/>
          <w:color w:val="auto"/>
        </w:rPr>
      </w:pPr>
    </w:p>
    <w:p>
      <w:pPr>
        <w:ind w:left="424" w:right="4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7.1</w:t>
        <w:tab/>
        <w:t>This Agreement shall be executed and take effect as of the date first written above. The term of this Agreement is ten (10) years unless early termination occurs in accordance with relevant provisions herein.</w:t>
      </w:r>
    </w:p>
    <w:p>
      <w:pPr>
        <w:spacing w:after="0" w:line="67" w:lineRule="exact"/>
        <w:rPr>
          <w:sz w:val="20"/>
          <w:szCs w:val="20"/>
          <w:color w:val="auto"/>
        </w:rPr>
      </w:pPr>
    </w:p>
    <w:p>
      <w:pPr>
        <w:ind w:left="424" w:right="10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7.2</w:t>
        <w:tab/>
        <w:t>This Agreement may be automatically extended for another ten (10) years upon its expiry, and may be extended for unlimited number of times thereafter, unless Party A notifies Party B in writing of its disagreement with the extension. Party B may not veto the extension of the term of this Agreement.</w:t>
      </w:r>
    </w:p>
    <w:p>
      <w:pPr>
        <w:spacing w:after="0" w:line="320" w:lineRule="exact"/>
        <w:rPr>
          <w:sz w:val="20"/>
          <w:szCs w:val="20"/>
          <w:color w:val="auto"/>
        </w:rPr>
      </w:pPr>
    </w:p>
    <w:p>
      <w:pPr>
        <w:ind w:left="424" w:hanging="424"/>
        <w:spacing w:after="0"/>
        <w:tabs>
          <w:tab w:leader="none" w:pos="42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35" w:lineRule="exact"/>
        <w:rPr>
          <w:sz w:val="20"/>
          <w:szCs w:val="20"/>
          <w:color w:val="auto"/>
        </w:rPr>
      </w:pPr>
    </w:p>
    <w:p>
      <w:pPr>
        <w:ind w:left="424" w:right="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remain valid, unless Party A disapproves the extension of the term hereof pursuant to Article 7.2 above or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is early terminated pursuant to Article 8.2 below.</w:t>
      </w:r>
    </w:p>
    <w:p>
      <w:pPr>
        <w:spacing w:after="0" w:line="18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Early Termination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964" w:right="20" w:hanging="532"/>
        <w:spacing w:after="0" w:line="266" w:lineRule="auto"/>
        <w:tabs>
          <w:tab w:leader="none" w:pos="9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hereof, in no event shall Party B terminate this Agreement earlier, unless Party A commits gross negligence, fraud or other illegal action, or goes bankrupt. Notwithstanding the foregoing, Party A shall have the right to terminate this Agreement at any time by issuing a thirty (30) days’ prior written notice to Party B.</w:t>
      </w:r>
    </w:p>
    <w:p>
      <w:pPr>
        <w:spacing w:after="0" w:line="81"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hereof, if Party B breaches this Agreement, Party A may terminate this Agreement by serving a written notice to Party B if Party B fails to correct its breach within fifteen (15) days upon its receipt of the written notice from Party A specifying the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196" w:name="page197"/>
    <w:bookmarkEnd w:id="196"/>
    <w:p>
      <w:pPr>
        <w:ind w:left="964" w:right="200" w:hanging="532"/>
        <w:spacing w:after="0" w:line="266" w:lineRule="auto"/>
        <w:tabs>
          <w:tab w:leader="none" w:pos="96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during the term provided in Article 7.1 and 7.2 above, the operating term of either Party (including any extension thereof) expires or is otherwise terminated, this Agreement shall terminate upon the termination of such Party, unless such Party has transferred its rights and obligations hereunder according to Article 11 hereof.</w:t>
      </w:r>
    </w:p>
    <w:p>
      <w:pPr>
        <w:spacing w:after="0" w:line="81"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After the termination of this Agreement, the respective rights and obligations of the Parties under Articles 4, 6 and 14 shall nonetheless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remain valid.</w:t>
      </w:r>
    </w:p>
    <w:p>
      <w:pPr>
        <w:spacing w:after="0" w:line="306" w:lineRule="exact"/>
        <w:rPr>
          <w:sz w:val="20"/>
          <w:szCs w:val="20"/>
          <w:color w:val="auto"/>
        </w:rPr>
      </w:pPr>
    </w:p>
    <w:p>
      <w:pPr>
        <w:ind w:left="424" w:hanging="424"/>
        <w:spacing w:after="0"/>
        <w:tabs>
          <w:tab w:leader="none" w:pos="424"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135" w:lineRule="exact"/>
        <w:rPr>
          <w:sz w:val="20"/>
          <w:szCs w:val="20"/>
          <w:color w:val="auto"/>
        </w:rPr>
      </w:pPr>
    </w:p>
    <w:p>
      <w:pPr>
        <w:ind w:left="424"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9.1</w:t>
        <w:tab/>
        <w:t>An “Force Majeure Event” shall mean any event beyond the reasonable anticipation and control of a Party so affected, which are unavoidable even if the affected Party takes a reasonable care, including but not limited to governmental acts, Act of God, fires, explosion, storms, floods, earthquakes, tides, lightning or wars. However, any shortage of credits, funds or financing shall not be deemed as the events beyond reasonable control of the affected Party. The affected Party shall forthwith inform the other Party of the details concerning the exemption of liabilities and the steps that need to be taken to complete discharging such liabilities.</w:t>
      </w:r>
    </w:p>
    <w:p>
      <w:pPr>
        <w:spacing w:after="0" w:line="89" w:lineRule="exact"/>
        <w:rPr>
          <w:sz w:val="20"/>
          <w:szCs w:val="20"/>
          <w:color w:val="auto"/>
        </w:rPr>
      </w:pPr>
    </w:p>
    <w:p>
      <w:pPr>
        <w:ind w:left="424" w:right="14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9.2</w:t>
        <w:tab/>
        <w:t>In the event that the performance of this Agreement is delayed or interrupted due to the said Force Majeure Event, the affected Party shall be excused from any liability hereunder to the extent of the delayed or interrupted performance, provided, however, that the affected Party shall take appropriate measures to minimize or eliminate the adverse impacts therefrom and strive to resume the performance of this Agreement so delayed or interrupted. The Parties agree to use their best efforts to continue the performance of this Agreement once the said Force Majeure Event disappears.</w:t>
      </w:r>
    </w:p>
    <w:p>
      <w:pPr>
        <w:spacing w:after="0" w:line="328" w:lineRule="exact"/>
        <w:rPr>
          <w:sz w:val="20"/>
          <w:szCs w:val="20"/>
          <w:color w:val="auto"/>
        </w:rPr>
      </w:pPr>
    </w:p>
    <w:p>
      <w:pPr>
        <w:ind w:left="424" w:hanging="424"/>
        <w:spacing w:after="0"/>
        <w:tabs>
          <w:tab w:leader="none" w:pos="42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Notices or other communications required to be given by any Party pursuant to this Agreement shall be written in Chinese or English and delivered personally or sent by registered mail, postage prepaid mail, express delivery or facsimile transmission to the addresses of the other Parties set forth below, or to other designated addresses notified by such other Parties to such Party from time to time, or the addresses of other persons designated by such Party. A notice is deemed to be duly served: (a) if delivered personally, upon the delivery; (b) if sent by mail, on the tenth (10th) day after the date when the air registered mail with postage prepaid has been sent out (as is shown on the postmark), or the fourth (4th) day after delivered to the courier service agency; and (c) if sent by facsimile transmission, upon the receipt time as is shown on the transmission confirmation of relevant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197" w:name="page198"/>
    <w:bookmarkEnd w:id="197"/>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to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-5080</wp:posOffset>
            </wp:positionV>
            <wp:extent cx="17138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101"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Attn: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-7620</wp:posOffset>
            </wp:positionV>
            <wp:extent cx="17138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9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-7620</wp:posOffset>
            </wp:positionV>
            <wp:extent cx="17138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9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Phone: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-7620</wp:posOffset>
            </wp:positionV>
            <wp:extent cx="12090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9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Fax: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-7620</wp:posOffset>
            </wp:positionV>
            <wp:extent cx="120904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93"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-5080</wp:posOffset>
            </wp:positionV>
            <wp:extent cx="17138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101"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-7620</wp:posOffset>
            </wp:positionV>
            <wp:extent cx="17138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9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Phone: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-7620</wp:posOffset>
            </wp:positionV>
            <wp:extent cx="12090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9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Fax: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-7620</wp:posOffset>
            </wp:positionV>
            <wp:extent cx="12090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50" w:lineRule="exact"/>
        <w:rPr>
          <w:sz w:val="20"/>
          <w:szCs w:val="20"/>
          <w:color w:val="auto"/>
        </w:rPr>
      </w:pPr>
    </w:p>
    <w:p>
      <w:pPr>
        <w:ind w:left="424" w:hanging="424"/>
        <w:spacing w:after="0"/>
        <w:tabs>
          <w:tab w:leader="none" w:pos="42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11.1  Party B shall not assign its rights and obligations under this Agreement to any third party without prior written consent from Party A.</w:t>
      </w:r>
    </w:p>
    <w:p>
      <w:pPr>
        <w:spacing w:after="0" w:line="131" w:lineRule="exact"/>
        <w:rPr>
          <w:sz w:val="20"/>
          <w:szCs w:val="20"/>
          <w:color w:val="auto"/>
        </w:rPr>
      </w:pPr>
    </w:p>
    <w:p>
      <w:pPr>
        <w:ind w:left="424" w:hanging="431"/>
        <w:spacing w:after="0" w:line="266" w:lineRule="auto"/>
        <w:rPr>
          <w:sz w:val="20"/>
          <w:szCs w:val="20"/>
          <w:color w:val="auto"/>
        </w:rPr>
      </w:pPr>
      <w:r>
        <w:rPr>
          <w:rFonts w:ascii="Times New Roman" w:cs="Times New Roman" w:eastAsia="Times New Roman" w:hAnsi="Times New Roman"/>
          <w:sz w:val="18"/>
          <w:szCs w:val="18"/>
          <w:color w:val="auto"/>
        </w:rPr>
        <w:t>11.2 Party B hereby agrees that Party A may assign its rights and obligations under this Agreement as Party A may decide at its sole discretion, and such assignment shall only be subject to a written notice sent to Party B, without subject to its consent. When and as requested by Party A, Party B shall execute with the assignee a supplementary agreement or an agreement substantially the same as this Agreement.</w:t>
      </w:r>
    </w:p>
    <w:p>
      <w:pPr>
        <w:spacing w:after="0" w:line="320" w:lineRule="exact"/>
        <w:rPr>
          <w:sz w:val="20"/>
          <w:szCs w:val="20"/>
          <w:color w:val="auto"/>
        </w:rPr>
      </w:pPr>
    </w:p>
    <w:p>
      <w:pPr>
        <w:ind w:left="424" w:hanging="424"/>
        <w:spacing w:after="0"/>
        <w:tabs>
          <w:tab w:leader="none" w:pos="42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 and Severability</w:t>
      </w:r>
    </w:p>
    <w:p>
      <w:pPr>
        <w:spacing w:after="0" w:line="135" w:lineRule="exact"/>
        <w:rPr>
          <w:sz w:val="20"/>
          <w:szCs w:val="20"/>
          <w:color w:val="auto"/>
        </w:rPr>
      </w:pPr>
    </w:p>
    <w:p>
      <w:pPr>
        <w:jc w:val="both"/>
        <w:ind w:left="424" w:right="300" w:hanging="431"/>
        <w:spacing w:after="0" w:line="266" w:lineRule="auto"/>
        <w:rPr>
          <w:sz w:val="20"/>
          <w:szCs w:val="20"/>
          <w:color w:val="auto"/>
        </w:rPr>
      </w:pPr>
      <w:r>
        <w:rPr>
          <w:rFonts w:ascii="Times New Roman" w:cs="Times New Roman" w:eastAsia="Times New Roman" w:hAnsi="Times New Roman"/>
          <w:sz w:val="18"/>
          <w:szCs w:val="18"/>
          <w:color w:val="auto"/>
        </w:rPr>
        <w:t>12.1 The Parties confirm that this Agreement shall, upon its effectiveness, constitute the entire agreement and common understanding of the Parties with respect to the contents herein and fully supersede all prior verbal and/or written agreements and understandings between the Parties with respect to the contents herein.</w:t>
      </w:r>
    </w:p>
    <w:p>
      <w:pPr>
        <w:spacing w:after="0" w:line="81" w:lineRule="exact"/>
        <w:rPr>
          <w:sz w:val="20"/>
          <w:szCs w:val="20"/>
          <w:color w:val="auto"/>
        </w:rPr>
      </w:pPr>
    </w:p>
    <w:p>
      <w:pPr>
        <w:ind w:left="424" w:right="20" w:hanging="431"/>
        <w:spacing w:after="0" w:line="258" w:lineRule="auto"/>
        <w:rPr>
          <w:sz w:val="20"/>
          <w:szCs w:val="20"/>
          <w:color w:val="auto"/>
        </w:rPr>
      </w:pPr>
      <w:r>
        <w:rPr>
          <w:rFonts w:ascii="Times New Roman" w:cs="Times New Roman" w:eastAsia="Times New Roman" w:hAnsi="Times New Roman"/>
          <w:sz w:val="18"/>
          <w:szCs w:val="18"/>
          <w:color w:val="auto"/>
        </w:rPr>
        <w:t>12.2 If any one or more provisions of this Agreement is identified or judged by a court of competent jurisdiction or arbitration authority as void, invalid or unenforceable in any respect according to any laws or regulations, the validity, legality and enforceability of the other provisions hereof shall not be affected or impaired in any way. The Parties shall cease performing such void, invalid or unenforceable provisions and revise those void, invalid or unenforceable provisions only to the extent closest to the original intention thereof to recover its validity or enforceability for such specific facts and circumstances.</w:t>
      </w:r>
    </w:p>
    <w:p>
      <w:pPr>
        <w:spacing w:after="0" w:line="328" w:lineRule="exact"/>
        <w:rPr>
          <w:sz w:val="20"/>
          <w:szCs w:val="20"/>
          <w:color w:val="auto"/>
        </w:rPr>
      </w:pPr>
    </w:p>
    <w:p>
      <w:pPr>
        <w:ind w:left="424" w:hanging="424"/>
        <w:spacing w:after="0"/>
        <w:tabs>
          <w:tab w:leader="none" w:pos="424"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Supplement to Agreement</w:t>
      </w:r>
    </w:p>
    <w:p>
      <w:pPr>
        <w:spacing w:after="0" w:line="121"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Any amendment and supplement to this Agreement shall be made in writing by the Parties. Any agreements on such amendment and supplement duly executed by both Parties shall be deemed as a part of this Agreement and shall have the same legal effect as this Agreement.</w:t>
      </w:r>
    </w:p>
    <w:p>
      <w:pPr>
        <w:spacing w:after="0" w:line="306" w:lineRule="exact"/>
        <w:rPr>
          <w:sz w:val="20"/>
          <w:szCs w:val="20"/>
          <w:color w:val="auto"/>
        </w:rPr>
      </w:pPr>
    </w:p>
    <w:p>
      <w:pPr>
        <w:ind w:left="424" w:hanging="424"/>
        <w:spacing w:after="0"/>
        <w:tabs>
          <w:tab w:leader="none" w:pos="424"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135" w:lineRule="exact"/>
        <w:rPr>
          <w:sz w:val="20"/>
          <w:szCs w:val="20"/>
          <w:color w:val="auto"/>
        </w:rPr>
      </w:pPr>
    </w:p>
    <w:p>
      <w:pPr>
        <w:ind w:left="424" w:right="100" w:hanging="431"/>
        <w:spacing w:after="0" w:line="282" w:lineRule="auto"/>
        <w:rPr>
          <w:sz w:val="20"/>
          <w:szCs w:val="20"/>
          <w:color w:val="auto"/>
        </w:rPr>
      </w:pPr>
      <w:r>
        <w:rPr>
          <w:rFonts w:ascii="Times New Roman" w:cs="Times New Roman" w:eastAsia="Times New Roman" w:hAnsi="Times New Roman"/>
          <w:sz w:val="18"/>
          <w:szCs w:val="18"/>
          <w:color w:val="auto"/>
        </w:rPr>
        <w:t>14.1 The formation, validity, interpretation, performance and termination of this Agreement and the amendment hereto as well as the resolution of any disputes arising hereunder shall be governed by the PRC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198" w:name="page199"/>
    <w:bookmarkEnd w:id="198"/>
    <w:p>
      <w:pPr>
        <w:ind w:left="424" w:hanging="43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14.2 Any disputes arising from the interpretation and performance of this Agreement shall first be resolved through friendly consultation among the Parties. In case no settlement can be reached through consultation within thirty (30) days after the request for consultation is made by any Party with a written notice, any Party can submit such disputes to Shanghai International Economic and Trade Arbitration Commission for arbitration in accordance with its then effective rules. The arbitration shall take place in Shanghai. The arbitration proceedings shall be conducted in Chinese. The arbitration award shall be final and binding upon both Parties.</w:t>
      </w:r>
    </w:p>
    <w:p>
      <w:pPr>
        <w:spacing w:after="0" w:line="89" w:lineRule="exact"/>
        <w:rPr>
          <w:sz w:val="20"/>
          <w:szCs w:val="20"/>
          <w:color w:val="auto"/>
        </w:rPr>
      </w:pPr>
    </w:p>
    <w:p>
      <w:pPr>
        <w:ind w:left="424" w:right="260" w:hanging="431"/>
        <w:spacing w:after="0" w:line="282" w:lineRule="auto"/>
        <w:rPr>
          <w:sz w:val="20"/>
          <w:szCs w:val="20"/>
          <w:color w:val="auto"/>
        </w:rPr>
      </w:pPr>
      <w:r>
        <w:rPr>
          <w:rFonts w:ascii="Times New Roman" w:cs="Times New Roman" w:eastAsia="Times New Roman" w:hAnsi="Times New Roman"/>
          <w:sz w:val="18"/>
          <w:szCs w:val="18"/>
          <w:color w:val="auto"/>
        </w:rPr>
        <w:t>14.3 If any dispute arises from the interpretation and performance of this Agreement or any dispute is under arbitration, the Parties shall continue to perform their respective rights and obligations hereunder other than those in dispute.</w:t>
      </w:r>
    </w:p>
    <w:p>
      <w:pPr>
        <w:spacing w:after="0" w:line="185" w:lineRule="exact"/>
        <w:rPr>
          <w:sz w:val="20"/>
          <w:szCs w:val="20"/>
          <w:color w:val="auto"/>
        </w:rPr>
      </w:pPr>
    </w:p>
    <w:p>
      <w:pPr>
        <w:ind w:left="424" w:hanging="424"/>
        <w:spacing w:after="0"/>
        <w:tabs>
          <w:tab w:leader="none" w:pos="424"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56" w:lineRule="exact"/>
        <w:rPr>
          <w:sz w:val="20"/>
          <w:szCs w:val="20"/>
          <w:color w:val="auto"/>
        </w:rPr>
      </w:pPr>
    </w:p>
    <w:p>
      <w:pPr>
        <w:ind w:left="424" w:right="80" w:hanging="431"/>
        <w:spacing w:after="0" w:line="282" w:lineRule="auto"/>
        <w:rPr>
          <w:sz w:val="20"/>
          <w:szCs w:val="20"/>
          <w:color w:val="auto"/>
        </w:rPr>
      </w:pPr>
      <w:r>
        <w:rPr>
          <w:rFonts w:ascii="Times New Roman" w:cs="Times New Roman" w:eastAsia="Times New Roman" w:hAnsi="Times New Roman"/>
          <w:sz w:val="18"/>
          <w:szCs w:val="18"/>
          <w:color w:val="auto"/>
        </w:rPr>
        <w:t>15.1 The headings contained in this Agreement are for the convenience of reference only and shall not be used to interpret, explain or otherwise affect the meaning of the provisions of this Agreement.</w:t>
      </w:r>
    </w:p>
    <w:p>
      <w:pPr>
        <w:spacing w:after="0" w:line="189" w:lineRule="exact"/>
        <w:rPr>
          <w:sz w:val="20"/>
          <w:szCs w:val="20"/>
          <w:color w:val="auto"/>
        </w:rPr>
      </w:pPr>
    </w:p>
    <w:p>
      <w:pPr>
        <w:ind w:left="424" w:right="160" w:hanging="431"/>
        <w:spacing w:after="0" w:line="282" w:lineRule="auto"/>
        <w:rPr>
          <w:sz w:val="20"/>
          <w:szCs w:val="20"/>
          <w:color w:val="auto"/>
        </w:rPr>
      </w:pPr>
      <w:r>
        <w:rPr>
          <w:rFonts w:ascii="Times New Roman" w:cs="Times New Roman" w:eastAsia="Times New Roman" w:hAnsi="Times New Roman"/>
          <w:sz w:val="18"/>
          <w:szCs w:val="18"/>
          <w:color w:val="auto"/>
        </w:rPr>
        <w:t>15.2 The Parties agree to promptly execute such documents, or take such further actions, as are reasonably necessary or beneficial for performing the provisions or achieving the purposes hereof.</w:t>
      </w:r>
    </w:p>
    <w:p>
      <w:pPr>
        <w:spacing w:after="0" w:line="189" w:lineRule="exact"/>
        <w:rPr>
          <w:sz w:val="20"/>
          <w:szCs w:val="20"/>
          <w:color w:val="auto"/>
        </w:rPr>
      </w:pPr>
    </w:p>
    <w:p>
      <w:pPr>
        <w:ind w:left="424" w:right="280" w:hanging="431"/>
        <w:spacing w:after="0" w:line="282" w:lineRule="auto"/>
        <w:rPr>
          <w:sz w:val="20"/>
          <w:szCs w:val="20"/>
          <w:color w:val="auto"/>
        </w:rPr>
      </w:pPr>
      <w:r>
        <w:rPr>
          <w:rFonts w:ascii="Times New Roman" w:cs="Times New Roman" w:eastAsia="Times New Roman" w:hAnsi="Times New Roman"/>
          <w:sz w:val="18"/>
          <w:szCs w:val="18"/>
          <w:color w:val="auto"/>
        </w:rPr>
        <w:t>15.3 Any Party’s failure to exercise the rights under this Agreement in time shall not be deemed as its waiver of such rights and would not affect its future exercise of such rights.</w:t>
      </w:r>
    </w:p>
    <w:p>
      <w:pPr>
        <w:spacing w:after="0" w:line="189" w:lineRule="exact"/>
        <w:rPr>
          <w:sz w:val="20"/>
          <w:szCs w:val="20"/>
          <w:color w:val="auto"/>
        </w:rPr>
      </w:pPr>
    </w:p>
    <w:p>
      <w:pPr>
        <w:ind w:left="424" w:right="200" w:hanging="431"/>
        <w:spacing w:after="0" w:line="282" w:lineRule="auto"/>
        <w:rPr>
          <w:sz w:val="20"/>
          <w:szCs w:val="20"/>
          <w:color w:val="auto"/>
        </w:rPr>
      </w:pPr>
      <w:r>
        <w:rPr>
          <w:rFonts w:ascii="Times New Roman" w:cs="Times New Roman" w:eastAsia="Times New Roman" w:hAnsi="Times New Roman"/>
          <w:sz w:val="18"/>
          <w:szCs w:val="18"/>
          <w:color w:val="auto"/>
        </w:rPr>
        <w:t>15.4 Any obligations that are incurred or become due arising from this Agreement by the expiry or early termination of this Agreement shall survive the expiry or termination of this Agreement.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15.5  The exhibits attached hereto shall constitute a component of this Agreement and shall be equally binding as this Agreement.</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15.6  This Agreement is written in Chinese and executed with two (2) originals with the same legal effect.</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by the Parties or their respective authorized representatives on the date first above written.</w:t>
      </w: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6995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270" w:right="499" w:bottom="1440" w:gutter="0" w:footer="0" w:header="0"/>
        </w:sectPr>
      </w:pPr>
    </w:p>
    <w:bookmarkStart w:id="199" w:name="page200"/>
    <w:bookmarkEnd w:id="199"/>
    <w:p>
      <w:pPr>
        <w:jc w:val="right"/>
        <w:ind w:right="34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page is execution page]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-5080</wp:posOffset>
            </wp:positionV>
            <wp:extent cx="19424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18853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Authorized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-19050</wp:posOffset>
            </wp:positionV>
            <wp:extent cx="11430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(stamp)</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-5080</wp:posOffset>
            </wp:positionV>
            <wp:extent cx="194246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1942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18853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Authorized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-19050</wp:posOffset>
            </wp:positionV>
            <wp:extent cx="11430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200" w:name="page201"/>
    <w:bookmarkEnd w:id="20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 List of Technical Consulting and Services</w:t>
      </w:r>
    </w:p>
    <w:p>
      <w:pPr>
        <w:spacing w:after="0" w:line="121"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this Agreement, the Parties hereby agree and confirm that Party A will provide the following technical consulting and services to Party B:</w:t>
      </w:r>
    </w:p>
    <w:p>
      <w:pPr>
        <w:spacing w:after="0" w:line="67" w:lineRule="exact"/>
        <w:rPr>
          <w:sz w:val="20"/>
          <w:szCs w:val="20"/>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webpage design and content creation for all of the existing and future websites of Party B (including without limitation www.ctrip.com);</w:t>
      </w:r>
    </w:p>
    <w:p>
      <w:pPr>
        <w:spacing w:after="0" w:line="130"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of the relevant technology required in connection with Party B’s business operations, including development, design and production of database software for information storage, customer interface software and other related technologies as well as granting license of such technology to Party B;</w:t>
      </w:r>
    </w:p>
    <w:p>
      <w:pPr>
        <w:spacing w:after="0" w:line="81" w:lineRule="exact"/>
        <w:rPr>
          <w:rFonts w:ascii="Times New Roman" w:cs="Times New Roman" w:eastAsia="Times New Roman" w:hAnsi="Times New Roman"/>
          <w:sz w:val="18"/>
          <w:szCs w:val="18"/>
          <w:color w:val="auto"/>
        </w:rPr>
      </w:pPr>
    </w:p>
    <w:p>
      <w:pPr>
        <w:ind w:left="424" w:right="940" w:hanging="424"/>
        <w:spacing w:after="0" w:line="282"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application and implementation for Party B’s business operations, including without limitation master design, installation, commissioning and trial operation of technical systems;</w:t>
      </w:r>
    </w:p>
    <w:p>
      <w:pPr>
        <w:spacing w:after="0" w:line="67"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maintenance, monitor, commissioning and trouble shooting for Party B’s computer network equipment necessary for its business operations, including prompt input of user information to database, or prompt update of database and regular update of customer interface, as well as other related technical services;</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services for procurement of equipment, software and hardware systems necessary for business operations by Party B, including without limitation consulting and advising on selection, installation and commissioning of tool software, application software and technical platform, as well as the selection, type and function of complementary hardware facilities and equipment;</w:t>
      </w:r>
    </w:p>
    <w:p>
      <w:pPr>
        <w:spacing w:after="0" w:line="81" w:lineRule="exact"/>
        <w:rPr>
          <w:rFonts w:ascii="Times New Roman" w:cs="Times New Roman" w:eastAsia="Times New Roman" w:hAnsi="Times New Roman"/>
          <w:sz w:val="18"/>
          <w:szCs w:val="18"/>
          <w:color w:val="auto"/>
        </w:rPr>
      </w:pPr>
    </w:p>
    <w:p>
      <w:pPr>
        <w:ind w:left="424" w:right="180" w:hanging="424"/>
        <w:spacing w:after="0" w:line="281" w:lineRule="auto"/>
        <w:tabs>
          <w:tab w:leader="none" w:pos="424"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pre-work and on-work training and technical support and assistance for Party B’s employees, including without limitation providing appropriate raining for Party B and its employees on customer services or technologies, sharing knowledge and experience in installation and operation of systems and equipment, assisting to resolve any problem in connection with system and equipment installation and operation, consulting and advising on operation of any other web edition platform and software, and assisting to collect and compile information and contents;</w:t>
      </w:r>
    </w:p>
    <w:p>
      <w:pPr>
        <w:spacing w:after="0" w:line="69"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consulting and response to enquiries raised by Party B relating to network equipment, technical products and software;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certain level of staff support at Party B’s request, including without limitation temporarily sending and seconding relevant staff;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services required by Party B for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266" w:right="479" w:bottom="1440" w:gutter="0" w:footer="0" w:header="0"/>
        </w:sectPr>
      </w:pPr>
    </w:p>
    <w:bookmarkStart w:id="201" w:name="page202"/>
    <w:bookmarkEnd w:id="20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 Calculation and Payment of Services Fee</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this Agreement, the Parties hereby agree and confirm that the amount of the Service Fees shall be calculated and paid in the following way:</w:t>
      </w:r>
    </w:p>
    <w:p>
      <w:pPr>
        <w:spacing w:after="0" w:line="67" w:lineRule="exact"/>
        <w:rPr>
          <w:sz w:val="20"/>
          <w:szCs w:val="20"/>
          <w:color w:val="auto"/>
        </w:rPr>
      </w:pPr>
    </w:p>
    <w:p>
      <w:pPr>
        <w:ind w:left="424" w:hanging="424"/>
        <w:spacing w:after="0" w:line="282"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Fees hereunder shall be calculated on the basis of Party B’s revenue and its relevant operating cost, selling cost, management cost and such other costs, and may be charged: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percentage of Party B’s revenue;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amount for the service items completed for Party B;</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amount of loyalty fee for specific software and patents; and/or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other manner as decided by Party A from time to time based on the nature of the service.</w:t>
      </w:r>
    </w:p>
    <w:p>
      <w:pPr>
        <w:spacing w:after="0" w:line="130"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send to Party B a written confirmation about the Service Fees, and the amount of the Service Fees shall be determined after taking into account: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the technology and complexity of the services provided by Party A;</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required by Party A’s employees to provide the services;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contents and commercial value of the services, software or consulting provided by Party A; and/or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benchmark price of the similar services on the market.</w:t>
      </w:r>
    </w:p>
    <w:p>
      <w:pPr>
        <w:spacing w:after="0" w:line="130"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calculate the Service Fees and issue the corresponding invoices to Party B on a fixed period of time basis (monthly, quarterly and such other period as determined by Party A). Party B shall pay the Service Fees to the bank account designated by Party A.</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Fees payable by Party B to Party A shall be subject to the payment notice sent by Party A to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266" w:right="479" w:bottom="1440" w:gutter="0" w:footer="0" w:header="0"/>
        </w:sectPr>
      </w:pPr>
    </w:p>
    <w:bookmarkStart w:id="202" w:name="page203"/>
    <w:bookmarkEnd w:id="202"/>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schedule sets forth other major similar agreements the registrant entered into with each of its consolidated affiliated Chinese entities. Other than the information set forth below, there is no material difference between such other agreements and this exhibit.</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120" w:type="dxa"/>
            <w:vAlign w:val="bottom"/>
          </w:tcPr>
          <w:p>
            <w:pPr>
              <w:spacing w:after="0"/>
              <w:rPr>
                <w:sz w:val="16"/>
                <w:szCs w:val="16"/>
                <w:color w:val="auto"/>
              </w:rPr>
            </w:pPr>
          </w:p>
        </w:tc>
        <w:tc>
          <w:tcPr>
            <w:tcW w:w="628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Execution Date</w:t>
            </w:r>
          </w:p>
        </w:tc>
      </w:tr>
      <w:tr>
        <w:trPr>
          <w:trHeight w:val="191"/>
        </w:trPr>
        <w:tc>
          <w:tcPr>
            <w:tcW w:w="24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Shanghai Ctrip Commerce Co.,</w:t>
            </w:r>
          </w:p>
        </w:tc>
        <w:tc>
          <w:tcPr>
            <w:tcW w:w="120" w:type="dxa"/>
            <w:vAlign w:val="bottom"/>
            <w:tcBorders>
              <w:top w:val="single" w:sz="8" w:color="CCEEFF"/>
            </w:tcBorders>
            <w:shd w:val="clear" w:color="auto" w:fill="CCEEFF"/>
          </w:tcPr>
          <w:p>
            <w:pPr>
              <w:spacing w:after="0"/>
              <w:rPr>
                <w:sz w:val="16"/>
                <w:szCs w:val="16"/>
                <w:color w:val="auto"/>
              </w:rPr>
            </w:pPr>
          </w:p>
        </w:tc>
        <w:tc>
          <w:tcPr>
            <w:tcW w:w="61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Party A: Ctrip Travel Network Technology (Shanghai) Co., Ltd.</w:t>
            </w:r>
          </w:p>
        </w:tc>
        <w:tc>
          <w:tcPr>
            <w:tcW w:w="12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spacing w:after="0"/>
              <w:rPr>
                <w:sz w:val="16"/>
                <w:szCs w:val="16"/>
                <w:color w:val="auto"/>
              </w:rPr>
            </w:pPr>
          </w:p>
        </w:tc>
      </w:tr>
      <w:tr>
        <w:trPr>
          <w:trHeight w:val="248"/>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Ltd.</w:t>
            </w:r>
          </w:p>
        </w:tc>
        <w:tc>
          <w:tcPr>
            <w:tcW w:w="6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Party B: Shanghai Ctrip Commerce Co., Ltd.</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14, 2015</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Shanghai Huacheng Southwest</w:t>
            </w:r>
          </w:p>
        </w:tc>
        <w:tc>
          <w:tcPr>
            <w:tcW w:w="640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Party A: Ctrip Travel Network Technology (Shanghai) Co., Ltd.</w:t>
            </w:r>
          </w:p>
        </w:tc>
        <w:tc>
          <w:tcPr>
            <w:tcW w:w="2200" w:type="dxa"/>
            <w:vAlign w:val="bottom"/>
            <w:shd w:val="clear" w:color="auto" w:fill="CCEEFF"/>
          </w:tcPr>
          <w:p>
            <w:pPr>
              <w:spacing w:after="0"/>
              <w:rPr>
                <w:sz w:val="17"/>
                <w:szCs w:val="17"/>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Travel Agency</w:t>
            </w:r>
          </w:p>
        </w:tc>
        <w:tc>
          <w:tcPr>
            <w:tcW w:w="6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Party B: Shanghai Huacheng Southwest International Travel Agency Co., Ltd.</w:t>
            </w:r>
          </w:p>
        </w:tc>
        <w:tc>
          <w:tcPr>
            <w:tcW w:w="2200" w:type="dxa"/>
            <w:vAlign w:val="bottom"/>
            <w:shd w:val="clear" w:color="auto" w:fill="CCEEFF"/>
          </w:tcPr>
          <w:p>
            <w:pPr>
              <w:spacing w:after="0"/>
              <w:rPr>
                <w:sz w:val="18"/>
                <w:szCs w:val="18"/>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 Ltd.*</w:t>
            </w:r>
          </w:p>
        </w:tc>
        <w:tc>
          <w:tcPr>
            <w:tcW w:w="120" w:type="dxa"/>
            <w:vAlign w:val="bottom"/>
            <w:shd w:val="clear" w:color="auto" w:fill="CCEEFF"/>
          </w:tcPr>
          <w:p>
            <w:pPr>
              <w:spacing w:after="0"/>
              <w:rPr>
                <w:sz w:val="20"/>
                <w:szCs w:val="20"/>
                <w:color w:val="auto"/>
              </w:rPr>
            </w:pPr>
          </w:p>
        </w:tc>
        <w:tc>
          <w:tcPr>
            <w:tcW w:w="6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14,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320" w:hanging="424"/>
        <w:spacing w:after="0" w:line="282" w:lineRule="auto"/>
        <w:tabs>
          <w:tab w:leader="none" w:pos="4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Huacheng Southwest International Travel Agency Co., Ltd. is the wholly-owned subsidiary of Shanghai Ctrip Commerce Co., Ltd, a consolidated affiliated Chinese entity of Trip.com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This Loan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in Shanghai,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as of                     by and between the following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5661660</wp:posOffset>
            </wp:positionH>
            <wp:positionV relativeFrom="paragraph">
              <wp:posOffset>-186690</wp:posOffset>
            </wp:positionV>
            <wp:extent cx="11430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40" w:lineRule="exact"/>
        <w:rPr>
          <w:sz w:val="20"/>
          <w:szCs w:val="20"/>
          <w:color w:val="auto"/>
        </w:rPr>
      </w:pPr>
    </w:p>
    <w:p>
      <w:pPr>
        <w:ind w:left="424" w:hanging="424"/>
        <w:spacing w:after="0"/>
        <w:tabs>
          <w:tab w:leader="none" w:pos="4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-5080</wp:posOffset>
            </wp:positionV>
            <wp:extent cx="11430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Address: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-19050</wp:posOffset>
            </wp:positionV>
            <wp:extent cx="11430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88" w:lineRule="exact"/>
        <w:rPr>
          <w:sz w:val="20"/>
          <w:szCs w:val="20"/>
          <w:color w:val="auto"/>
        </w:rPr>
      </w:pPr>
    </w:p>
    <w:p>
      <w:pPr>
        <w:ind w:left="424" w:hanging="424"/>
        <w:spacing w:after="0"/>
        <w:tabs>
          <w:tab w:leader="none" w:pos="4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-5080</wp:posOffset>
            </wp:positionV>
            <wp:extent cx="11430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tbl>
      <w:tblPr>
        <w:tblLayout w:type="fixed"/>
        <w:tblInd w:w="444" w:type="dxa"/>
        <w:tblCellMar>
          <w:top w:w="0" w:type="dxa"/>
          <w:left w:w="0" w:type="dxa"/>
          <w:bottom w:w="0" w:type="dxa"/>
          <w:right w:w="0" w:type="dxa"/>
        </w:tblCellMar>
      </w:tblPr>
      <w:tr>
        <w:trPr>
          <w:trHeight w:val="207"/>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Sex: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80" w:type="dxa"/>
            <w:vAlign w:val="bottom"/>
            <w:gridSpan w:val="8"/>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22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5"/>
              </w:rPr>
              <w:t>PRC Identification Card No.: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14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196"/>
        </w:trPr>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2"/>
              </w:rPr>
              <w:t>Address: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460" w:type="dxa"/>
            <w:vAlign w:val="bottom"/>
          </w:tcPr>
          <w:p>
            <w:pPr>
              <w:jc w:val="right"/>
              <w:ind w:right="1310"/>
              <w:spacing w:after="0" w:line="196" w:lineRule="exact"/>
              <w:rPr>
                <w:sz w:val="20"/>
                <w:szCs w:val="20"/>
                <w:color w:val="auto"/>
              </w:rPr>
            </w:pPr>
            <w:r>
              <w:rPr>
                <w:rFonts w:ascii="Times New Roman" w:cs="Times New Roman" w:eastAsia="Times New Roman" w:hAnsi="Times New Roman"/>
                <w:sz w:val="18"/>
                <w:szCs w:val="18"/>
                <w:color w:val="auto"/>
                <w:w w:val="78"/>
              </w:rPr>
              <w:t>;</w:t>
            </w: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this Agreement, Party A and Party B are hereinafter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35" w:lineRule="exact"/>
        <w:rPr>
          <w:sz w:val="20"/>
          <w:szCs w:val="20"/>
          <w:color w:val="auto"/>
        </w:rPr>
      </w:pPr>
    </w:p>
    <w:p>
      <w:pPr>
        <w:ind w:left="544" w:hanging="544"/>
        <w:spacing w:after="0"/>
        <w:tabs>
          <w:tab w:leader="none" w:pos="5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 owned enterprise duly incorporated and validly existing under the PRC laws, and Party B is a PRC citizen.</w:t>
      </w:r>
    </w:p>
    <w:p>
      <w:pPr>
        <w:spacing w:after="0" w:line="11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5"/>
              </w:rPr>
              <w:t>(2)</w:t>
            </w:r>
          </w:p>
        </w:tc>
        <w:tc>
          <w:tcPr>
            <w:tcW w:w="105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Party B holds          % equity interest in                               (“</w:t>
            </w:r>
            <w:r>
              <w:rPr>
                <w:rFonts w:ascii="Times New Roman" w:cs="Times New Roman" w:eastAsia="Times New Roman" w:hAnsi="Times New Roman"/>
                <w:sz w:val="18"/>
                <w:szCs w:val="18"/>
                <w:b w:val="1"/>
                <w:bCs w:val="1"/>
                <w:color w:val="auto"/>
              </w:rPr>
              <w:t>Ctrip Commerce</w:t>
            </w:r>
            <w:r>
              <w:rPr>
                <w:rFonts w:ascii="Times New Roman" w:cs="Times New Roman" w:eastAsia="Times New Roman" w:hAnsi="Times New Roman"/>
                <w:sz w:val="18"/>
                <w:szCs w:val="18"/>
                <w:color w:val="auto"/>
              </w:rPr>
              <w:t>”), and needs to obtain financial support from Party A to</w:t>
            </w:r>
          </w:p>
        </w:tc>
      </w:tr>
      <w:tr>
        <w:trPr>
          <w:trHeight w:val="20"/>
        </w:trPr>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218"/>
        </w:trPr>
        <w:tc>
          <w:tcPr>
            <w:tcW w:w="380" w:type="dxa"/>
            <w:vAlign w:val="bottom"/>
          </w:tcPr>
          <w:p>
            <w:pPr>
              <w:spacing w:after="0"/>
              <w:rPr>
                <w:sz w:val="18"/>
                <w:szCs w:val="18"/>
                <w:color w:val="auto"/>
              </w:rPr>
            </w:pPr>
          </w:p>
        </w:tc>
        <w:tc>
          <w:tcPr>
            <w:tcW w:w="105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contribute such equity interest; meanwhile, Party A is willing to provide capitals to Party B in the form of a loan for Party B’s capital</w:t>
            </w:r>
          </w:p>
        </w:tc>
      </w:tr>
      <w:tr>
        <w:trPr>
          <w:trHeight w:val="234"/>
        </w:trPr>
        <w:tc>
          <w:tcPr>
            <w:tcW w:w="380" w:type="dxa"/>
            <w:vAlign w:val="bottom"/>
          </w:tcPr>
          <w:p>
            <w:pPr>
              <w:spacing w:after="0"/>
              <w:rPr>
                <w:sz w:val="20"/>
                <w:szCs w:val="20"/>
                <w:color w:val="auto"/>
              </w:rPr>
            </w:pPr>
          </w:p>
        </w:tc>
        <w:tc>
          <w:tcPr>
            <w:tcW w:w="105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contribution to Ctrip Commerce.</w:t>
            </w:r>
          </w:p>
        </w:tc>
      </w:tr>
    </w:tbl>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Upon mutual consultation, the Parties hereby agree as follows:</w:t>
      </w:r>
    </w:p>
    <w:p>
      <w:pPr>
        <w:spacing w:after="0" w:line="131" w:lineRule="exact"/>
        <w:rPr>
          <w:sz w:val="20"/>
          <w:szCs w:val="20"/>
          <w:color w:val="auto"/>
        </w:rPr>
      </w:pPr>
    </w:p>
    <w:p>
      <w:pPr>
        <w:ind w:left="424" w:hanging="424"/>
        <w:spacing w:after="0"/>
        <w:tabs>
          <w:tab w:leader="none" w:pos="42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w:t>
      </w:r>
    </w:p>
    <w:p>
      <w:pPr>
        <w:spacing w:after="0" w:line="135" w:lineRule="exact"/>
        <w:rPr>
          <w:sz w:val="20"/>
          <w:szCs w:val="20"/>
          <w:color w:val="auto"/>
        </w:rPr>
      </w:pPr>
    </w:p>
    <w:p>
      <w:pPr>
        <w:ind w:left="424" w:right="6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1.1</w:t>
        <w:tab/>
        <w:t>Subject to the terms and conditions of this Agreement, Party A agrees to provide Party B with a long-term loan at an aggregate amount of RMB          (¥          )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-48260</wp:posOffset>
            </wp:positionV>
            <wp:extent cx="12661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4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Party A confirms to have received the Loan and Party B shall ensure the Loan to be used for contribution of Ctrip Commerce’s registered capital.</w:t>
      </w:r>
    </w:p>
    <w:p>
      <w:pPr>
        <w:spacing w:after="0" w:line="131" w:lineRule="exact"/>
        <w:rPr>
          <w:sz w:val="20"/>
          <w:szCs w:val="20"/>
          <w:color w:val="auto"/>
        </w:rPr>
      </w:pPr>
    </w:p>
    <w:p>
      <w:pPr>
        <w:ind w:left="424" w:right="6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1.3</w:t>
        <w:tab/>
        <w:t>The Parties agree and confirm that any increase of the registered capital of Ctrip Commerce subscribed by Party B in the future shall be funded by a loan from Party A, and with respect to such increase of the registered capital, the Parties agree to enter into a supplementary agreement based on this Agreement. Party B shall not pay such subscribed increase of registered capital with its own funds or through a loan from a third party other than Party A, except with the written consent from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204" w:name="page205"/>
    <w:bookmarkEnd w:id="204"/>
    <w:p>
      <w:pPr>
        <w:ind w:left="424" w:right="2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w:t>
        <w:tab/>
        <w:t>The Parties agree and confirm that unless otherwise provided herein, the Loan hereunder shall be interest free, which is to say, Party B does not need to pay any interest to Party A with respect to the Loan hereunder.</w:t>
      </w:r>
    </w:p>
    <w:p>
      <w:pPr>
        <w:spacing w:after="0" w:line="306" w:lineRule="exact"/>
        <w:rPr>
          <w:sz w:val="20"/>
          <w:szCs w:val="20"/>
          <w:color w:val="auto"/>
        </w:rPr>
      </w:pPr>
    </w:p>
    <w:p>
      <w:pPr>
        <w:ind w:left="424" w:hanging="424"/>
        <w:spacing w:after="0"/>
        <w:tabs>
          <w:tab w:leader="none" w:pos="424"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Loan</w:t>
      </w:r>
    </w:p>
    <w:p>
      <w:pPr>
        <w:spacing w:after="0" w:line="135" w:lineRule="exact"/>
        <w:rPr>
          <w:sz w:val="20"/>
          <w:szCs w:val="20"/>
          <w:color w:val="auto"/>
        </w:rPr>
      </w:pPr>
    </w:p>
    <w:p>
      <w:pPr>
        <w:ind w:left="424" w:right="60" w:hanging="431"/>
        <w:spacing w:after="0" w:line="255" w:lineRule="auto"/>
        <w:tabs>
          <w:tab w:leader="none" w:pos="404" w:val="left"/>
        </w:tabs>
        <w:rPr>
          <w:sz w:val="20"/>
          <w:szCs w:val="20"/>
          <w:color w:val="auto"/>
        </w:rPr>
      </w:pPr>
      <w:r>
        <w:rPr>
          <w:rFonts w:ascii="Times New Roman" w:cs="Times New Roman" w:eastAsia="Times New Roman" w:hAnsi="Times New Roman"/>
          <w:sz w:val="18"/>
          <w:szCs w:val="18"/>
          <w:color w:val="auto"/>
        </w:rPr>
        <w:t>2.1</w:t>
        <w:tab/>
        <w:t>Party B agrees to accept the Loan provided by Party A, and hereby agrees and undertakes that the Loan has been used in its entirety to pay Party B’s subscription to the registered capital of Ctrip Commerce for its formation or to subscribe to the increase (if any) of the registered capital of Ctrip Commerce. Party B shall use the Loan solely for the foregoing purpose, and shall not use the Loan for any purposes other than that agreed herein unless Party A’s prior written consent has been obtained. Furthermore, Party B shall not transfer or pledge its equity interest or other rights in Ctrip Commerce to any third party, or otherwise dispose of its equity interest in Ctrip Commerce, including creating any encumbrances thereupon, except for the benefit of Party A and/or its designated person (including legal or natural, the “</w:t>
      </w:r>
      <w:r>
        <w:rPr>
          <w:rFonts w:ascii="Times New Roman" w:cs="Times New Roman" w:eastAsia="Times New Roman" w:hAnsi="Times New Roman"/>
          <w:sz w:val="18"/>
          <w:szCs w:val="18"/>
          <w:b w:val="1"/>
          <w:bCs w:val="1"/>
          <w:color w:val="auto"/>
        </w:rPr>
        <w:t>Party A’s Designated Person</w:t>
      </w:r>
      <w:r>
        <w:rPr>
          <w:rFonts w:ascii="Times New Roman" w:cs="Times New Roman" w:eastAsia="Times New Roman" w:hAnsi="Times New Roman"/>
          <w:sz w:val="18"/>
          <w:szCs w:val="18"/>
          <w:color w:val="auto"/>
        </w:rPr>
        <w:t>”) as requested by Party A.</w:t>
      </w:r>
    </w:p>
    <w:p>
      <w:pPr>
        <w:spacing w:after="0" w:line="94" w:lineRule="exact"/>
        <w:rPr>
          <w:sz w:val="20"/>
          <w:szCs w:val="20"/>
          <w:color w:val="auto"/>
        </w:rPr>
      </w:pPr>
    </w:p>
    <w:p>
      <w:pPr>
        <w:ind w:left="424" w:right="2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2.2</w:t>
        <w:tab/>
        <w:t>Party B hereby agrees and confirms that it will not withdraw and take out its contribution to Ctrip Commerce throughout the operating term of Ctrip Commerce.</w:t>
      </w:r>
    </w:p>
    <w:p>
      <w:pPr>
        <w:spacing w:after="0" w:line="306" w:lineRule="exact"/>
        <w:rPr>
          <w:sz w:val="20"/>
          <w:szCs w:val="20"/>
          <w:color w:val="auto"/>
        </w:rPr>
      </w:pPr>
    </w:p>
    <w:p>
      <w:pPr>
        <w:ind w:left="424" w:hanging="424"/>
        <w:spacing w:after="0"/>
        <w:tabs>
          <w:tab w:leader="none" w:pos="424"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Loan</w:t>
      </w:r>
    </w:p>
    <w:p>
      <w:pPr>
        <w:spacing w:after="0" w:line="135" w:lineRule="exact"/>
        <w:rPr>
          <w:sz w:val="20"/>
          <w:szCs w:val="20"/>
          <w:color w:val="auto"/>
        </w:rPr>
      </w:pPr>
    </w:p>
    <w:p>
      <w:pPr>
        <w:ind w:left="424" w:right="80" w:hanging="431"/>
        <w:spacing w:after="0" w:line="213" w:lineRule="auto"/>
        <w:tabs>
          <w:tab w:leader="none" w:pos="404" w:val="left"/>
        </w:tabs>
        <w:rPr>
          <w:sz w:val="20"/>
          <w:szCs w:val="20"/>
          <w:color w:val="auto"/>
        </w:rPr>
      </w:pPr>
      <w:r>
        <w:rPr>
          <w:rFonts w:ascii="Times New Roman" w:cs="Times New Roman" w:eastAsia="Times New Roman" w:hAnsi="Times New Roman"/>
          <w:sz w:val="18"/>
          <w:szCs w:val="18"/>
          <w:color w:val="auto"/>
        </w:rPr>
        <w:t>3.1</w:t>
        <w:tab/>
        <w:t>The term of the Loan hereunder shall commence from the date when Party B actually receives the Loan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date hereof (the “</w:t>
      </w:r>
      <w:r>
        <w:rPr>
          <w:rFonts w:ascii="Times New Roman" w:cs="Times New Roman" w:eastAsia="Times New Roman" w:hAnsi="Times New Roman"/>
          <w:sz w:val="18"/>
          <w:szCs w:val="18"/>
          <w:b w:val="1"/>
          <w:bCs w:val="1"/>
          <w:color w:val="auto"/>
        </w:rPr>
        <w:t>Term of Loan</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24"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3.2</w:t>
        <w:tab/>
        <w:t>The Term of Loan will be automatically extended for another ten (10) years upon the expiry of the first ten-year term, and so forth thereafter for unlimited number of times, unless Party A sends a prior written notice to disapprove the extension of Term of Loan. Once Party A sends such notice, the Loan shall become mature at the end of the term, and Party B shall perform its repayment obligation in the manner stipulated in Article 4 below within thirty (30) days upon the maturity of the Loan. Party B has no right to decide on the extension of the term, nor may it repay the Loan before scheduled.</w:t>
      </w:r>
    </w:p>
    <w:p>
      <w:pPr>
        <w:spacing w:after="0" w:line="89" w:lineRule="exact"/>
        <w:rPr>
          <w:sz w:val="20"/>
          <w:szCs w:val="20"/>
          <w:color w:val="auto"/>
        </w:rPr>
      </w:pPr>
    </w:p>
    <w:p>
      <w:pPr>
        <w:ind w:left="424" w:right="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3.3</w:t>
        <w:tab/>
        <w:t>During the term or any extended term of the Loan, the Loan will become immediately due and payable by Party B (or its inheritors, successors or assigns) in the manner stipulated in Article 4 hereof if:</w:t>
      </w:r>
    </w:p>
    <w:p>
      <w:pPr>
        <w:spacing w:after="0" w:line="67" w:lineRule="exact"/>
        <w:rPr>
          <w:sz w:val="20"/>
          <w:szCs w:val="20"/>
          <w:color w:val="auto"/>
        </w:rPr>
      </w:pPr>
    </w:p>
    <w:p>
      <w:pPr>
        <w:ind w:left="964" w:hanging="532"/>
        <w:spacing w:after="0"/>
        <w:tabs>
          <w:tab w:leader="none" w:pos="96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dies or becomes a person incapacitated or with limited capacity for civil acts;</w:t>
      </w:r>
    </w:p>
    <w:p>
      <w:pPr>
        <w:spacing w:after="0" w:line="130" w:lineRule="exact"/>
        <w:rPr>
          <w:rFonts w:ascii="Times New Roman" w:cs="Times New Roman" w:eastAsia="Times New Roman" w:hAnsi="Times New Roman"/>
          <w:sz w:val="18"/>
          <w:szCs w:val="18"/>
          <w:color w:val="auto"/>
        </w:rPr>
      </w:pPr>
    </w:p>
    <w:p>
      <w:pPr>
        <w:ind w:left="964" w:right="180" w:hanging="532"/>
        <w:spacing w:after="0" w:line="282" w:lineRule="auto"/>
        <w:tabs>
          <w:tab w:leader="none" w:pos="96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ceases to hold the position of director or senior officer of Party A or any of its affiliates, or leaves, or is dismissed by, Party A or any of its affiliates;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commits or is involved in a crime;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270" w:right="499" w:bottom="1440" w:gutter="0" w:footer="0" w:header="0"/>
        </w:sectPr>
      </w:pPr>
    </w:p>
    <w:bookmarkStart w:id="205" w:name="page206"/>
    <w:bookmarkEnd w:id="205"/>
    <w:p>
      <w:pPr>
        <w:ind w:left="964" w:hanging="532"/>
        <w:spacing w:after="0"/>
        <w:tabs>
          <w:tab w:leader="none" w:pos="96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third-party claims RMB five hundred thousand (¥500,000) against Party B;</w:t>
      </w:r>
    </w:p>
    <w:p>
      <w:pPr>
        <w:spacing w:after="0" w:line="130" w:lineRule="exact"/>
        <w:rPr>
          <w:rFonts w:ascii="Times New Roman" w:cs="Times New Roman" w:eastAsia="Times New Roman" w:hAnsi="Times New Roman"/>
          <w:sz w:val="18"/>
          <w:szCs w:val="18"/>
          <w:color w:val="auto"/>
        </w:rPr>
      </w:pPr>
    </w:p>
    <w:p>
      <w:pPr>
        <w:ind w:left="964" w:right="220" w:hanging="532"/>
        <w:spacing w:after="0" w:line="289" w:lineRule="auto"/>
        <w:tabs>
          <w:tab w:leader="none" w:pos="964"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representations or warranties made by Party B hereunder is proved to be untrue at the time it is made, or inaccurate in any material respect; or Party B breaches any of its obligations under this Agreement or any other agreement entered into with Party A, including without limitation the Equity Pledge Agreement (as defined below) and Exclusive Call Option Agreement (as defined below);</w:t>
      </w:r>
    </w:p>
    <w:p>
      <w:pPr>
        <w:spacing w:after="0" w:line="63" w:lineRule="exact"/>
        <w:rPr>
          <w:rFonts w:ascii="Times New Roman" w:cs="Times New Roman" w:eastAsia="Times New Roman" w:hAnsi="Times New Roman"/>
          <w:sz w:val="17"/>
          <w:szCs w:val="17"/>
          <w:color w:val="auto"/>
        </w:rPr>
      </w:pPr>
    </w:p>
    <w:p>
      <w:pPr>
        <w:ind w:left="964" w:hanging="532"/>
        <w:spacing w:after="0"/>
        <w:tabs>
          <w:tab w:leader="none" w:pos="96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exercises the exclusive call option under the Exclusive Call Option Agreement defined in Article 5.2 below;</w:t>
      </w:r>
    </w:p>
    <w:p>
      <w:pPr>
        <w:spacing w:after="0" w:line="130"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Equity Pledge Agreement, or the Exclusive Call Option Agreement is terminated or held invalid by any court for any reason whatsoever;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at its sole discretion, sends a written notice to Party B at any time, requesting Party B to repay the Loan earlier than scheduled.</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Loan</w:t>
      </w:r>
    </w:p>
    <w:p>
      <w:pPr>
        <w:spacing w:after="0" w:line="135"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4.1</w:t>
        <w:tab/>
        <w:t>Party A and Party B hereby mutually agree and confirm that the Loan shall be repaid in the following manner only: to the extent permitted by applicable laws, Party B will transfer all or part of its equity interest in Ctrip Commerce to Party A or Party A’s Designated Person as requested by Party A in writing.</w:t>
      </w:r>
    </w:p>
    <w:p>
      <w:pPr>
        <w:spacing w:after="0" w:line="81"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4.2</w:t>
        <w:tab/>
        <w:t>Party A and Party B hereby mutually agree and confirm that any and all proceeds from Party B’s transfer of its equity interest in Ctrip Commerce shall be entirely used for repayment of the principal of the Loan and as the consideration for the grant of the Loan by Party A to Party B; the principal of the Loan and such consideration shall be fully paid in the manner designated by Party A.</w:t>
      </w:r>
    </w:p>
    <w:p>
      <w:pPr>
        <w:spacing w:after="0" w:line="81" w:lineRule="exact"/>
        <w:rPr>
          <w:sz w:val="20"/>
          <w:szCs w:val="20"/>
          <w:color w:val="auto"/>
        </w:rPr>
      </w:pPr>
    </w:p>
    <w:p>
      <w:pPr>
        <w:jc w:val="both"/>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4.3</w:t>
        <w:tab/>
        <w:t>Party A and Party B hereby mutually agree and confirm that, to the extent permitted by the applicable laws, Party A has the right but no obligation to purchase, or have Party A’s Designated Person purchase at any time, all or part of the equity interest held by Party B in Ctrip Commerce at any price confirmed by Party A.</w:t>
      </w:r>
    </w:p>
    <w:p>
      <w:pPr>
        <w:spacing w:after="0" w:line="81" w:lineRule="exact"/>
        <w:rPr>
          <w:sz w:val="20"/>
          <w:szCs w:val="20"/>
          <w:color w:val="auto"/>
        </w:rPr>
      </w:pPr>
    </w:p>
    <w:p>
      <w:pPr>
        <w:ind w:left="424" w:right="1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4.4</w:t>
        <w:tab/>
        <w:t>Party A and Party B hereby mutually agree and confirm that, Party B shall be deemed to have fulfilled its repayment obligations hereunder only after both of the following conditions have been satisfied:</w:t>
      </w:r>
    </w:p>
    <w:p>
      <w:pPr>
        <w:spacing w:after="0" w:line="67" w:lineRule="exact"/>
        <w:rPr>
          <w:sz w:val="20"/>
          <w:szCs w:val="20"/>
          <w:color w:val="auto"/>
        </w:rPr>
      </w:pPr>
    </w:p>
    <w:p>
      <w:pPr>
        <w:ind w:left="964" w:right="140" w:hanging="532"/>
        <w:spacing w:after="0" w:line="282" w:lineRule="auto"/>
        <w:tabs>
          <w:tab w:leader="none" w:pos="96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have transferred all of its equity interests in Ctrip Commerce to Party A and/or Party A’s Designated Person as requested by Party A; and</w:t>
      </w:r>
    </w:p>
    <w:p>
      <w:pPr>
        <w:spacing w:after="0" w:line="67" w:lineRule="exact"/>
        <w:rPr>
          <w:rFonts w:ascii="Times New Roman" w:cs="Times New Roman" w:eastAsia="Times New Roman" w:hAnsi="Times New Roman"/>
          <w:sz w:val="18"/>
          <w:szCs w:val="18"/>
          <w:color w:val="auto"/>
        </w:rPr>
      </w:pPr>
    </w:p>
    <w:p>
      <w:pPr>
        <w:ind w:left="964" w:right="180" w:hanging="532"/>
        <w:spacing w:after="0" w:line="282" w:lineRule="auto"/>
        <w:tabs>
          <w:tab w:leader="none" w:pos="96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repaid to Party A the entire transfer proceeds for repayment of the principal of the Loan and as consideration for the grant of the Loan by Party A to Party B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206" w:name="page207"/>
    <w:bookmarkEnd w:id="206"/>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4.5</w:t>
        <w:tab/>
        <w:t>If Ctrip Commerce goes bankrupt, is dissolved or is duly ordered for closure during the term of the Loan hereunder, Party B shall liquidate Ctrip Commerce according to laws and transfer all of the proceeds or remaining property from such liquidation to Party A for repayment of the principal of the Loan and as consideration for the grant of Loan by Party A to Party B hereunder.</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4.6</w:t>
        <w:tab/>
        <w:t>Interest of Loan</w:t>
      </w:r>
    </w:p>
    <w:p>
      <w:pPr>
        <w:spacing w:after="0" w:line="131" w:lineRule="exact"/>
        <w:rPr>
          <w:sz w:val="20"/>
          <w:szCs w:val="20"/>
          <w:color w:val="auto"/>
        </w:rPr>
      </w:pPr>
    </w:p>
    <w:p>
      <w:pPr>
        <w:ind w:left="964" w:right="460" w:hanging="532"/>
        <w:spacing w:after="0" w:line="282" w:lineRule="auto"/>
        <w:tabs>
          <w:tab w:leader="none" w:pos="96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will be deemed as a zero interest loan if the price to transfer the equity interests in Ctrip Commerce to Party A or Party A’s Designated Person by Party B is equal to or less than the principal of the Loan;</w:t>
      </w:r>
    </w:p>
    <w:p>
      <w:pPr>
        <w:spacing w:after="0" w:line="67" w:lineRule="exact"/>
        <w:rPr>
          <w:rFonts w:ascii="Times New Roman" w:cs="Times New Roman" w:eastAsia="Times New Roman" w:hAnsi="Times New Roman"/>
          <w:sz w:val="18"/>
          <w:szCs w:val="18"/>
          <w:color w:val="auto"/>
        </w:rPr>
      </w:pPr>
    </w:p>
    <w:p>
      <w:pPr>
        <w:ind w:left="964" w:right="80" w:hanging="532"/>
        <w:spacing w:after="0" w:line="256" w:lineRule="auto"/>
        <w:tabs>
          <w:tab w:leader="none" w:pos="96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other hand, if the equity interest transfer price exceeds the principal of the Loan hereunder, the exceeding amount shall, to the extent permitted by applicable law, be deemed as the consideration for the grant of Loan by Party A to Party B hereunder, and shall be reimbursed to Party A by Party B together with the principal of the Loan. Such consideration shall include, without limitation, highest interest possible accrued on the Loan during the term of the Loan to the extent permitted by applicable law, cost of capital occupation, and all taxes, fees and expenses incurred by the parties (including transferor and transferee) over the course of equity transfer by Party B to Party A or Party A’s Designated Person under this Agreement.</w:t>
      </w:r>
    </w:p>
    <w:p>
      <w:pPr>
        <w:spacing w:after="0" w:line="33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 to the Loan</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conditions for Party A to provide the Loan to Party B are set out below:</w:t>
      </w:r>
    </w:p>
    <w:p>
      <w:pPr>
        <w:spacing w:after="0" w:line="127" w:lineRule="exact"/>
        <w:rPr>
          <w:sz w:val="20"/>
          <w:szCs w:val="20"/>
          <w:color w:val="auto"/>
        </w:rPr>
      </w:pPr>
    </w:p>
    <w:p>
      <w:pPr>
        <w:ind w:left="424" w:hanging="431"/>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5.1</w:t>
        <w:tab/>
        <w:t>Party A and Party B having duly entered into an Equity Pledge Agreement (the “</w:t>
      </w:r>
      <w:r>
        <w:rPr>
          <w:rFonts w:ascii="Times New Roman" w:cs="Times New Roman" w:eastAsia="Times New Roman" w:hAnsi="Times New Roman"/>
          <w:sz w:val="18"/>
          <w:szCs w:val="18"/>
          <w:b w:val="1"/>
          <w:bCs w:val="1"/>
          <w:color w:val="auto"/>
        </w:rPr>
        <w:t>Equity Pledge Agreement</w:t>
      </w:r>
      <w:r>
        <w:rPr>
          <w:rFonts w:ascii="Times New Roman" w:cs="Times New Roman" w:eastAsia="Times New Roman" w:hAnsi="Times New Roman"/>
          <w:sz w:val="18"/>
          <w:szCs w:val="18"/>
          <w:color w:val="auto"/>
        </w:rPr>
        <w:t>”), pursuant to which Party B agrees to pledge all its equity interest in Ctrip Commerce to Party A;</w:t>
      </w:r>
    </w:p>
    <w:p>
      <w:pPr>
        <w:spacing w:after="0" w:line="60" w:lineRule="exact"/>
        <w:rPr>
          <w:sz w:val="20"/>
          <w:szCs w:val="20"/>
          <w:color w:val="auto"/>
        </w:rPr>
      </w:pPr>
    </w:p>
    <w:p>
      <w:pPr>
        <w:ind w:left="424" w:right="120" w:hanging="431"/>
        <w:spacing w:after="0" w:line="268" w:lineRule="auto"/>
        <w:tabs>
          <w:tab w:leader="none" w:pos="404" w:val="left"/>
        </w:tabs>
        <w:rPr>
          <w:sz w:val="20"/>
          <w:szCs w:val="20"/>
          <w:color w:val="auto"/>
        </w:rPr>
      </w:pPr>
      <w:r>
        <w:rPr>
          <w:rFonts w:ascii="Times New Roman" w:cs="Times New Roman" w:eastAsia="Times New Roman" w:hAnsi="Times New Roman"/>
          <w:sz w:val="18"/>
          <w:szCs w:val="18"/>
          <w:color w:val="auto"/>
        </w:rPr>
        <w:t>5.2</w:t>
        <w:tab/>
        <w:t>Party A, Party B and Ctrip Commerce having duly entered into an Exclusive Call Option Agreement (the “</w:t>
      </w:r>
      <w:r>
        <w:rPr>
          <w:rFonts w:ascii="Times New Roman" w:cs="Times New Roman" w:eastAsia="Times New Roman" w:hAnsi="Times New Roman"/>
          <w:sz w:val="18"/>
          <w:szCs w:val="18"/>
          <w:b w:val="1"/>
          <w:bCs w:val="1"/>
          <w:color w:val="auto"/>
        </w:rPr>
        <w:t>Exclusive Call Option Agreement</w:t>
      </w:r>
      <w:r>
        <w:rPr>
          <w:rFonts w:ascii="Times New Roman" w:cs="Times New Roman" w:eastAsia="Times New Roman" w:hAnsi="Times New Roman"/>
          <w:sz w:val="18"/>
          <w:szCs w:val="18"/>
          <w:color w:val="auto"/>
        </w:rPr>
        <w:t>”), pursuant to which Party B will grant an irrevocable and exclusive call option for Party A to purchase all of Party B’s equity interest in Ctrip Commerce;</w:t>
      </w:r>
    </w:p>
    <w:p>
      <w:pPr>
        <w:spacing w:after="0" w:line="80" w:lineRule="exact"/>
        <w:rPr>
          <w:sz w:val="20"/>
          <w:szCs w:val="20"/>
          <w:color w:val="auto"/>
        </w:rPr>
      </w:pPr>
    </w:p>
    <w:p>
      <w:pPr>
        <w:ind w:left="424" w:right="1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5.3</w:t>
        <w:tab/>
        <w:t>each of the representations and warranties made by Party B under Article 6.2 below being true, complete, correct and not misleading, and will be true, complete, correct and not misleading as of the day when the Loan is received; and</w:t>
      </w:r>
    </w:p>
    <w:p>
      <w:pPr>
        <w:spacing w:after="0" w:line="67" w:lineRule="exact"/>
        <w:rPr>
          <w:sz w:val="20"/>
          <w:szCs w:val="20"/>
          <w:color w:val="auto"/>
        </w:rPr>
      </w:pPr>
    </w:p>
    <w:p>
      <w:pPr>
        <w:ind w:left="424" w:right="2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5.4</w:t>
        <w:tab/>
        <w:t>Party B not breaching any of its covenants made in Article 7 below, and no events having occurred or being anticipated to occur that may affect Party B’s performance of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207" w:name="page208"/>
    <w:bookmarkEnd w:id="207"/>
    <w:p>
      <w:pPr>
        <w:ind w:left="424" w:hanging="424"/>
        <w:spacing w:after="0"/>
        <w:tabs>
          <w:tab w:leader="none" w:pos="424"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w:t>
      </w:r>
    </w:p>
    <w:p>
      <w:pPr>
        <w:spacing w:after="0" w:line="135" w:lineRule="exact"/>
        <w:rPr>
          <w:sz w:val="20"/>
          <w:szCs w:val="20"/>
          <w:color w:val="auto"/>
        </w:rPr>
      </w:pPr>
    </w:p>
    <w:p>
      <w:pPr>
        <w:ind w:left="424" w:right="1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6.1</w:t>
        <w:tab/>
        <w:t>From the date of this Agreement or the date of receiving the Loan (whichever is the earliest) until the termination hereof, Party A represents and warrants to Party B that:</w:t>
      </w:r>
    </w:p>
    <w:p>
      <w:pPr>
        <w:spacing w:after="0" w:line="67" w:lineRule="exact"/>
        <w:rPr>
          <w:sz w:val="20"/>
          <w:szCs w:val="20"/>
          <w:color w:val="auto"/>
        </w:rPr>
      </w:pPr>
    </w:p>
    <w:p>
      <w:pPr>
        <w:ind w:left="964" w:hanging="532"/>
        <w:spacing w:after="0"/>
        <w:tabs>
          <w:tab w:leader="none" w:pos="96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wholly foreign-owned company duly incorporated and validly existing under the laws of the PRC;</w:t>
      </w:r>
    </w:p>
    <w:p>
      <w:pPr>
        <w:spacing w:after="0" w:line="130" w:lineRule="exact"/>
        <w:rPr>
          <w:rFonts w:ascii="Times New Roman" w:cs="Times New Roman" w:eastAsia="Times New Roman" w:hAnsi="Times New Roman"/>
          <w:sz w:val="18"/>
          <w:szCs w:val="18"/>
          <w:color w:val="auto"/>
        </w:rPr>
      </w:pPr>
    </w:p>
    <w:p>
      <w:pPr>
        <w:jc w:val="both"/>
        <w:ind w:left="964" w:right="20" w:hanging="532"/>
        <w:spacing w:after="0" w:line="282" w:lineRule="auto"/>
        <w:tabs>
          <w:tab w:leader="none" w:pos="96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receives all approvals and authorities necessary and appropriate to execute and perform this Agreement. Its execution and performance of this Agreement are in compliance with its business scope, its articles of association or other organizational documents;</w:t>
      </w:r>
    </w:p>
    <w:p>
      <w:pPr>
        <w:spacing w:after="0" w:line="67" w:lineRule="exact"/>
        <w:rPr>
          <w:rFonts w:ascii="Times New Roman" w:cs="Times New Roman" w:eastAsia="Times New Roman" w:hAnsi="Times New Roman"/>
          <w:sz w:val="18"/>
          <w:szCs w:val="18"/>
          <w:color w:val="auto"/>
        </w:rPr>
      </w:pPr>
    </w:p>
    <w:p>
      <w:pPr>
        <w:ind w:left="964" w:right="100" w:hanging="532"/>
        <w:spacing w:after="0" w:line="266" w:lineRule="auto"/>
        <w:tabs>
          <w:tab w:leader="none" w:pos="96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nor the performance of this Agreement by Party A is in breach of any law, regulation, government approval, authorization, notice or any other government document by which it is bound or affected, or any agreement between it and any third party or any covenant issued to any third party; and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once executed, constitutes a legal, valid and enforceable obligation upon Party A.</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From the date of this Agreement until the termination hereof, Party B represents and warrants to Party B that:</w:t>
      </w:r>
    </w:p>
    <w:p>
      <w:pPr>
        <w:spacing w:after="0" w:line="131" w:lineRule="exact"/>
        <w:rPr>
          <w:sz w:val="20"/>
          <w:szCs w:val="20"/>
          <w:color w:val="auto"/>
        </w:rPr>
      </w:pPr>
    </w:p>
    <w:p>
      <w:pPr>
        <w:ind w:left="964" w:right="100" w:hanging="532"/>
        <w:spacing w:after="0" w:line="266" w:lineRule="auto"/>
        <w:tabs>
          <w:tab w:leader="none" w:pos="9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nor the performance of this Agreement by Party B is in breach of any law, regulation, government approval, authorization, notice or any other government document by which it is bound or affected, or any agreement between it and any third party or any covenant issued to any third party;</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once executed, constitutes a legal, valid and enforceable obligation upon Party A;</w:t>
      </w:r>
    </w:p>
    <w:p>
      <w:pPr>
        <w:spacing w:after="0" w:line="130"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duly pay up the full contribution with respect to its equity interest in Ctrip Commerce according to law, and has not withdrawn or taken out any of its contributions to Ctrip Commerce;</w:t>
      </w:r>
    </w:p>
    <w:p>
      <w:pPr>
        <w:spacing w:after="0" w:line="67"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those provided under the Equity Pledge Agreement and Exclusive Call Option Agreement, it creates no mortgage, pledge or any other encumbrance (including security interest) upon its equity interest in Ctrip Commerce, provides no offer to any third party to transfer such equity interest, makes no covenant regarding any offer to purchase such equity interest from any third party, or enters into any agreement with any third party to transfer such equity interest;</w:t>
      </w:r>
    </w:p>
    <w:p>
      <w:pPr>
        <w:spacing w:after="0" w:line="85" w:lineRule="exact"/>
        <w:rPr>
          <w:rFonts w:ascii="Times New Roman" w:cs="Times New Roman" w:eastAsia="Times New Roman" w:hAnsi="Times New Roman"/>
          <w:sz w:val="18"/>
          <w:szCs w:val="18"/>
          <w:color w:val="auto"/>
        </w:rPr>
      </w:pPr>
    </w:p>
    <w:p>
      <w:pPr>
        <w:ind w:left="964" w:right="40" w:hanging="532"/>
        <w:spacing w:after="0" w:line="282" w:lineRule="auto"/>
        <w:tabs>
          <w:tab w:leader="none" w:pos="9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existing or potential dispute, suit, arbitration, administrative proceeding or any other legal proceeding relating to Party B and/or its equity interest in Ctrip Commerce;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266" w:right="479" w:bottom="1440" w:gutter="0" w:footer="0" w:header="0"/>
        </w:sectPr>
      </w:pPr>
    </w:p>
    <w:bookmarkStart w:id="208" w:name="page209"/>
    <w:bookmarkEnd w:id="208"/>
    <w:p>
      <w:pPr>
        <w:ind w:left="964" w:right="520" w:hanging="532"/>
        <w:spacing w:after="0" w:line="282" w:lineRule="auto"/>
        <w:tabs>
          <w:tab w:leader="none" w:pos="96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Ctrip Commerce has completed all government approvals, authorizations, licenses, registrations and filings necessary to conduct its businesses included in its business scope and own its assets.</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by Party B</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Party B covenants in its capacity of shareholder of Ctrip Commerce that during the Term of Loan it will cause Ctrip Commerce:</w:t>
      </w:r>
    </w:p>
    <w:p>
      <w:pPr>
        <w:spacing w:after="0" w:line="131" w:lineRule="exact"/>
        <w:rPr>
          <w:sz w:val="20"/>
          <w:szCs w:val="20"/>
          <w:color w:val="auto"/>
        </w:rPr>
      </w:pPr>
    </w:p>
    <w:p>
      <w:pPr>
        <w:ind w:left="964" w:right="560" w:hanging="532"/>
        <w:spacing w:after="0" w:line="282" w:lineRule="auto"/>
        <w:tabs>
          <w:tab w:leader="none" w:pos="9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in any form whatsoever, supplement, amend or modify its articles of association or organizational documents, or increase or decrease its registered capital, or change its shareholding structure without prior written consent from Party A;</w:t>
      </w:r>
    </w:p>
    <w:p>
      <w:pPr>
        <w:spacing w:after="0" w:line="67"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its existence, prudently and effectively operate its businesses and deal with its affairs in line with fair financial and business standards and customs;</w:t>
      </w:r>
    </w:p>
    <w:p>
      <w:pPr>
        <w:spacing w:after="0" w:line="67" w:lineRule="exact"/>
        <w:rPr>
          <w:rFonts w:ascii="Times New Roman" w:cs="Times New Roman" w:eastAsia="Times New Roman" w:hAnsi="Times New Roman"/>
          <w:sz w:val="18"/>
          <w:szCs w:val="18"/>
          <w:color w:val="auto"/>
        </w:rPr>
      </w:pPr>
    </w:p>
    <w:p>
      <w:pPr>
        <w:ind w:left="964" w:right="100" w:hanging="532"/>
        <w:spacing w:after="0" w:line="261" w:lineRule="auto"/>
        <w:tabs>
          <w:tab w:leader="none" w:pos="9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make any act and/or omission that may materially affect Ctrip Commerce’s assets, business and liabilities without prior written consent from Party A; at any time as of the date hereof, not to sell, transfer, pledge or otherwise dispose of any legal or beneficial interest in any of Ctrip Commerce’s assets, businesses or revenues, or allow creation of any other form of encumbrances thereon without prior written consent from Party A;</w:t>
      </w:r>
    </w:p>
    <w:p>
      <w:pPr>
        <w:spacing w:after="0" w:line="85"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incur, inherit, guarantee or allow the existence of any debt without prior written consent from Party A, except for (i) any debt arising from ordinary or day-to-day business rather than from borrowing; and (ii) any debt which has been disclosed to and has obtained the written consent from Party A;</w:t>
      </w:r>
    </w:p>
    <w:p>
      <w:pPr>
        <w:spacing w:after="0" w:line="81" w:lineRule="exact"/>
        <w:rPr>
          <w:rFonts w:ascii="Times New Roman" w:cs="Times New Roman" w:eastAsia="Times New Roman" w:hAnsi="Times New Roman"/>
          <w:sz w:val="18"/>
          <w:szCs w:val="18"/>
          <w:color w:val="auto"/>
        </w:rPr>
      </w:pPr>
    </w:p>
    <w:p>
      <w:pPr>
        <w:ind w:left="964" w:right="480" w:hanging="532"/>
        <w:spacing w:after="0" w:line="282" w:lineRule="auto"/>
        <w:tabs>
          <w:tab w:leader="none" w:pos="9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always carry out all activities in the ordinary course of business to maintain the value of its assets, and not to make any act and/or omission that may adversely affect its results and asset value;</w:t>
      </w:r>
    </w:p>
    <w:p>
      <w:pPr>
        <w:spacing w:after="0" w:line="67" w:lineRule="exact"/>
        <w:rPr>
          <w:rFonts w:ascii="Times New Roman" w:cs="Times New Roman" w:eastAsia="Times New Roman" w:hAnsi="Times New Roman"/>
          <w:sz w:val="18"/>
          <w:szCs w:val="18"/>
          <w:color w:val="auto"/>
        </w:rPr>
      </w:pPr>
    </w:p>
    <w:p>
      <w:pPr>
        <w:ind w:left="964" w:right="280" w:hanging="532"/>
        <w:spacing w:after="0" w:line="266" w:lineRule="auto"/>
        <w:tabs>
          <w:tab w:leader="none" w:pos="9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enter into any material contract without prior written consent from Party A, other than those executed in the ordinary course of business (for purpose of this paragraph, any contract with a contact value exceeding RMB fifty thousand (50,000) shall be deemed as a material contract)</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provide any loan or guarantee to any person without prior written consent from Party A;</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and all information regarding its operations and financial conditions at the request from Party A;</w:t>
      </w:r>
    </w:p>
    <w:p>
      <w:pPr>
        <w:spacing w:after="0" w:line="130"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and always maintain requisite insurance policies from an insurer acceptable to Party A, the amount and type of which shall be the same as or equivalent to those maintained by the companies having similar operations, properties or assets in the same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270" w:right="499" w:bottom="1440" w:gutter="0" w:footer="0" w:header="0"/>
        </w:sectPr>
      </w:pPr>
    </w:p>
    <w:bookmarkStart w:id="209" w:name="page210"/>
    <w:bookmarkEnd w:id="209"/>
    <w:p>
      <w:pPr>
        <w:ind w:left="960" w:hanging="532"/>
        <w:spacing w:after="0"/>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to combine, merge with, be acquired by, acquire or invest in any person without prior written consent from Party A;</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immediately notify Party A of any actual or potential occurrence of any litigation, arbitration or administrative proceeding regarding its assets, business and revenue;</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all documents, conduct all actions, and make all claims or defenses necessary or appropriate to maintain its ownership of all of its assets;</w:t>
      </w:r>
    </w:p>
    <w:p>
      <w:pPr>
        <w:spacing w:after="0" w:line="67" w:lineRule="exact"/>
        <w:rPr>
          <w:rFonts w:ascii="Times New Roman" w:cs="Times New Roman" w:eastAsia="Times New Roman" w:hAnsi="Times New Roman"/>
          <w:sz w:val="18"/>
          <w:szCs w:val="18"/>
          <w:color w:val="auto"/>
        </w:rPr>
      </w:pPr>
    </w:p>
    <w:p>
      <w:pPr>
        <w:ind w:left="960" w:right="540" w:hanging="532"/>
        <w:spacing w:after="0" w:line="282" w:lineRule="auto"/>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distribute any form of dividends to any shareholder of Ctrip Commerce without the prior written consent from Party A, but to immediately distribute all distributable profits to the shareholders of Ctrip Commerce upon Party A’s request; and</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strictly comply with the provisions of the Exclusive Call Option Agreement, and not to make any act and/or omission which may affect its validity and enforceability.</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Party B covenants during the Term of Loan:</w:t>
      </w:r>
    </w:p>
    <w:p>
      <w:pPr>
        <w:spacing w:after="0" w:line="131" w:lineRule="exact"/>
        <w:rPr>
          <w:sz w:val="20"/>
          <w:szCs w:val="20"/>
          <w:color w:val="auto"/>
        </w:rPr>
      </w:pPr>
    </w:p>
    <w:p>
      <w:pPr>
        <w:ind w:left="960" w:hanging="532"/>
        <w:spacing w:after="0" w:line="266"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sell, transfer, pledge or otherwise dispose of any legal or beneficial interest in Party B’s equity interest, or allow creation of any other encumbrances (including security interest) thereon without prior written consent from Party A, except for those provided under the Equity Pledge Agreement and Exclusive Call Option Agreement;</w:t>
      </w:r>
    </w:p>
    <w:p>
      <w:pPr>
        <w:spacing w:after="0" w:line="81"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the shareholders’ meeting of Ctrip Commerce not to approve any sale, transfer, pledge or otherwise disposal of any legal or beneficial interest in Party B’s equity, or allow creation of any other security interests thereupon without prior written consent from Party A, except to Party A or Party A’s Designated Person;</w:t>
      </w:r>
    </w:p>
    <w:p>
      <w:pPr>
        <w:spacing w:after="0" w:line="81"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vote for, support or execute any resolution at shareholders’ meetings of Ctrip Commerce to approve Ctrip Commerce’s merger or association with, acquisition by, acquisition of or investment in any person without prior written consent from Party A;</w:t>
      </w:r>
    </w:p>
    <w:p>
      <w:pPr>
        <w:spacing w:after="0" w:line="67" w:lineRule="exact"/>
        <w:rPr>
          <w:rFonts w:ascii="Times New Roman" w:cs="Times New Roman" w:eastAsia="Times New Roman" w:hAnsi="Times New Roman"/>
          <w:sz w:val="18"/>
          <w:szCs w:val="18"/>
          <w:color w:val="auto"/>
        </w:rPr>
      </w:pPr>
    </w:p>
    <w:p>
      <w:pPr>
        <w:ind w:left="960" w:right="400" w:hanging="532"/>
        <w:spacing w:after="0" w:line="282"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immediately notify Party A of any actual or potential occurrence of litigation, arbitration or administrative proceeding regarding its equity interest in Ctrip Commerce;</w:t>
      </w:r>
    </w:p>
    <w:p>
      <w:pPr>
        <w:spacing w:after="0" w:line="67"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all documents, conduct all actions, and make all claims or defenses necessary or appropriate to maintain its ownership of its equity interest in Ctrip Commerce;</w:t>
      </w:r>
    </w:p>
    <w:p>
      <w:pPr>
        <w:spacing w:after="0" w:line="67"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make any act and/or omission which may materially affect any asset, business or liability of Ctrip Commerce without prior written consent from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6995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10" w:name="page211"/>
    <w:bookmarkEnd w:id="210"/>
    <w:p>
      <w:pPr>
        <w:ind w:left="964" w:right="60" w:hanging="532"/>
        <w:spacing w:after="0" w:line="261" w:lineRule="auto"/>
        <w:tabs>
          <w:tab w:leader="none" w:pos="9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accept and appoint the persons designated by Party A as directors, general manager and other senior management of Ctrip Commerce upon Party A’s request, and actively assist Party A in dealing with all matters in connection with the appointment of such persons, including but not limited to execution of necessary documents, and assist the registration of the appointment of such senior management at the AIC;</w:t>
      </w:r>
    </w:p>
    <w:p>
      <w:pPr>
        <w:spacing w:after="0" w:line="85"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the PRC laws and at the request of Party A at any time, to transfer unconditionally and immediately all or part of its equity interests in Ctrip Commerce to Party A or Party A’s Designated Person, and waive its right of first refusal on the equity interests transferred by other shareholders of Ctrip Commerce to Party A or Party A’s Designated Person; to actively assist all the matters in connection with the equity transfer, including but not limited to execution of necessary documents, and assist the registration of the equity transfer at the AIC;</w:t>
      </w:r>
    </w:p>
    <w:p>
      <w:pPr>
        <w:spacing w:after="0" w:line="88"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A purchases Party B’s equity interest in Ctrip Commerce pursuant to the Exclusive Call Option Agreement, to use the price of such purchase to repay the Loan to Party A as agreed in this Agreement;</w:t>
      </w:r>
    </w:p>
    <w:p>
      <w:pPr>
        <w:spacing w:after="0" w:line="67" w:lineRule="exact"/>
        <w:rPr>
          <w:rFonts w:ascii="Times New Roman" w:cs="Times New Roman" w:eastAsia="Times New Roman" w:hAnsi="Times New Roman"/>
          <w:sz w:val="18"/>
          <w:szCs w:val="18"/>
          <w:color w:val="auto"/>
        </w:rPr>
      </w:pPr>
    </w:p>
    <w:p>
      <w:pPr>
        <w:ind w:left="964" w:right="440" w:hanging="532"/>
        <w:spacing w:after="0" w:line="266" w:lineRule="auto"/>
        <w:tabs>
          <w:tab w:leader="none" w:pos="9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strictly comply with the provisions of this Agreement, the Equity Pledge Agreement and the Exclusive Call Option Agreement, diligently perform its obligations under each of such agreements, without making any act and/or omission which suffices to affect the validity and enforceability of each of such agreements; and</w:t>
      </w:r>
    </w:p>
    <w:p>
      <w:pPr>
        <w:spacing w:after="0" w:line="81" w:lineRule="exact"/>
        <w:rPr>
          <w:rFonts w:ascii="Times New Roman" w:cs="Times New Roman" w:eastAsia="Times New Roman" w:hAnsi="Times New Roman"/>
          <w:sz w:val="18"/>
          <w:szCs w:val="18"/>
          <w:color w:val="auto"/>
        </w:rPr>
      </w:pPr>
    </w:p>
    <w:p>
      <w:pPr>
        <w:ind w:left="964" w:right="480" w:hanging="532"/>
        <w:spacing w:after="0" w:line="282" w:lineRule="auto"/>
        <w:tabs>
          <w:tab w:leader="none" w:pos="9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agree and undertake to sign an irrevocable power of attorney authorizing Party A or Party A’s Designated Person to exercise on its behalf all of its rights as shareholder of Ctrip Commerce.</w:t>
      </w:r>
    </w:p>
    <w:p>
      <w:pPr>
        <w:spacing w:after="0" w:line="306" w:lineRule="exact"/>
        <w:rPr>
          <w:sz w:val="20"/>
          <w:szCs w:val="20"/>
          <w:color w:val="auto"/>
        </w:rPr>
      </w:pPr>
    </w:p>
    <w:p>
      <w:pPr>
        <w:ind w:left="424" w:hanging="424"/>
        <w:spacing w:after="0"/>
        <w:tabs>
          <w:tab w:leader="none" w:pos="42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and Termination</w:t>
      </w:r>
    </w:p>
    <w:p>
      <w:pPr>
        <w:spacing w:after="0" w:line="135" w:lineRule="exact"/>
        <w:rPr>
          <w:sz w:val="20"/>
          <w:szCs w:val="20"/>
          <w:color w:val="auto"/>
        </w:rPr>
      </w:pPr>
    </w:p>
    <w:p>
      <w:pPr>
        <w:ind w:left="424" w:right="5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8.1</w:t>
        <w:tab/>
        <w:t>This Agreement shall become effective as of the date of its execution. The Parties hereby agree and confirm that the effect of the terms and conditions of this Agreement shall retrospect to the day when Party B receives the Loan.</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8.2</w:t>
        <w:tab/>
        <w:t>This Agreement shall remain valid until the Parties have performed their respective obligations under this Agreement.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8.3</w:t>
        <w:tab/>
        <w:t>In no event shall Party B be entitled to unilaterally terminate or cancel this Agreement.</w:t>
      </w:r>
    </w:p>
    <w:p>
      <w:pPr>
        <w:spacing w:after="0" w:line="370" w:lineRule="exact"/>
        <w:rPr>
          <w:sz w:val="20"/>
          <w:szCs w:val="20"/>
          <w:color w:val="auto"/>
        </w:rPr>
      </w:pPr>
    </w:p>
    <w:p>
      <w:pPr>
        <w:ind w:left="424" w:hanging="424"/>
        <w:spacing w:after="0"/>
        <w:tabs>
          <w:tab w:leader="none" w:pos="424"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Liabilities for Breach of Contract</w:t>
      </w:r>
    </w:p>
    <w:p>
      <w:pPr>
        <w:spacing w:after="0" w:line="131" w:lineRule="exact"/>
        <w:rPr>
          <w:sz w:val="20"/>
          <w:szCs w:val="20"/>
          <w:color w:val="auto"/>
        </w:rPr>
      </w:pPr>
    </w:p>
    <w:p>
      <w:pPr>
        <w:jc w:val="both"/>
        <w:ind w:left="424" w:right="60" w:hanging="431"/>
        <w:spacing w:after="0" w:line="259" w:lineRule="auto"/>
        <w:tabs>
          <w:tab w:leader="none" w:pos="404" w:val="left"/>
        </w:tabs>
        <w:rPr>
          <w:sz w:val="20"/>
          <w:szCs w:val="20"/>
          <w:color w:val="auto"/>
        </w:rPr>
      </w:pPr>
      <w:r>
        <w:rPr>
          <w:rFonts w:ascii="Times New Roman" w:cs="Times New Roman" w:eastAsia="Times New Roman" w:hAnsi="Times New Roman"/>
          <w:sz w:val="18"/>
          <w:szCs w:val="18"/>
          <w:color w:val="auto"/>
        </w:rPr>
        <w:t>9.1</w:t>
        <w:tab/>
        <w:t>If any party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breaches any provision of this Agreement, which causes damage to the other party (“</w:t>
      </w:r>
      <w:r>
        <w:rPr>
          <w:rFonts w:ascii="Times New Roman" w:cs="Times New Roman" w:eastAsia="Times New Roman" w:hAnsi="Times New Roman"/>
          <w:sz w:val="18"/>
          <w:szCs w:val="18"/>
          <w:b w:val="1"/>
          <w:bCs w:val="1"/>
          <w:color w:val="auto"/>
        </w:rPr>
        <w:t>Non- defaulting Party</w:t>
      </w:r>
      <w:r>
        <w:rPr>
          <w:rFonts w:ascii="Times New Roman" w:cs="Times New Roman" w:eastAsia="Times New Roman" w:hAnsi="Times New Roman"/>
          <w:sz w:val="18"/>
          <w:szCs w:val="18"/>
          <w:color w:val="auto"/>
        </w:rPr>
        <w:t>”), the Non-defaulting Party could notify the Defaulting Party in writing and request it to rectify and correct such breach of contract; if the Defaulting Party fails to take any action satisfactory to the Non-defaulting Party to rectify and correct such breach within fifteen (15) working days upon the issuance of the written notice by the Non-defaulting Party, the Non-defaulting Party may immediately take the actions pursuant to this Agreement or take other remedies in accordance with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69951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211" w:name="page212"/>
    <w:bookmarkEnd w:id="211"/>
    <w:p>
      <w:pPr>
        <w:ind w:left="424" w:right="3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w:t>
        <w:tab/>
        <w:t>If Party B fails to repay the Loan within the period and in the manner stipulated under this Agreement, it will be liable for a penalty interest accrued upon the amount outstanding and payable at a daily interest rate of 0.01% for each overdue day until the Loan as well as any penalty interest and any other amount accrued thereupon are fully repaid by Party B as required herein.</w:t>
      </w:r>
    </w:p>
    <w:p>
      <w:pPr>
        <w:spacing w:after="0" w:line="320" w:lineRule="exact"/>
        <w:rPr>
          <w:sz w:val="20"/>
          <w:szCs w:val="20"/>
          <w:color w:val="auto"/>
        </w:rPr>
      </w:pPr>
    </w:p>
    <w:p>
      <w:pPr>
        <w:ind w:left="424" w:hanging="424"/>
        <w:spacing w:after="0"/>
        <w:tabs>
          <w:tab w:leader="none" w:pos="42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Notices or other communications required to be given by any Party pursuant to this Agreement shall be written in Chinese or English and delivered personally or sent by registered mail, postage prepaid mail, express delivery or facsimile transmission to the addresses of the other Parties set forth below, or to other designated addresses notified by such other Parties to such Party from time to time, or the addresses of other persons designated by such Party. A notice is deemed to be duly served: (a) if delivered personally, upon the delivery; (b) if sent by mail, on the tenth (10th) day after the date when the air registered mail with postage prepaid has been sent out (as is shown on the postmark), or the fourth (4th) day after delivered to the courier service agency; and (c) if sent by facsimile transmission, upon the receipt time as is shown on the transmission confirmation of relevant documents.</w:t>
      </w:r>
    </w:p>
    <w:p>
      <w:pPr>
        <w:spacing w:after="0" w:line="67" w:lineRule="exact"/>
        <w:rPr>
          <w:sz w:val="20"/>
          <w:szCs w:val="20"/>
          <w:color w:val="auto"/>
        </w:rPr>
      </w:pPr>
    </w:p>
    <w:tbl>
      <w:tblPr>
        <w:tblLayout w:type="fixed"/>
        <w:tblInd w:w="1424" w:type="dxa"/>
        <w:tblCellMar>
          <w:top w:w="0" w:type="dxa"/>
          <w:left w:w="0" w:type="dxa"/>
          <w:bottom w:w="0" w:type="dxa"/>
          <w:right w:w="0" w:type="dxa"/>
        </w:tblCellMar>
      </w:tblPr>
      <w:tr>
        <w:trPr>
          <w:trHeight w:val="207"/>
        </w:trPr>
        <w:tc>
          <w:tcPr>
            <w:tcW w:w="11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1"/>
              </w:rPr>
              <w:t xml:space="preserve">If to </w:t>
            </w:r>
            <w:r>
              <w:rPr>
                <w:rFonts w:ascii="Times New Roman" w:cs="Times New Roman" w:eastAsia="Times New Roman" w:hAnsi="Times New Roman"/>
                <w:sz w:val="18"/>
                <w:szCs w:val="18"/>
                <w:b w:val="1"/>
                <w:bCs w:val="1"/>
                <w:color w:val="auto"/>
                <w:w w:val="91"/>
              </w:rPr>
              <w:t>Party A:</w:t>
            </w:r>
            <w:r>
              <w:rPr>
                <w:rFonts w:ascii="Times New Roman" w:cs="Times New Roman" w:eastAsia="Times New Roman" w:hAnsi="Times New Roman"/>
                <w:sz w:val="18"/>
                <w:szCs w:val="18"/>
                <w:color w:val="auto"/>
                <w:w w:val="91"/>
              </w:rPr>
              <w:t xml:space="preserve">  </w:t>
            </w:r>
          </w:p>
        </w:tc>
        <w:tc>
          <w:tcPr>
            <w:tcW w:w="940" w:type="dxa"/>
            <w:vAlign w:val="bottom"/>
            <w:gridSpan w:val="6"/>
          </w:tcPr>
          <w:p>
            <w:pPr>
              <w:jc w:val="right"/>
              <w:ind w:right="17"/>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 xml:space="preserve">Attn: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85"/>
              </w:rPr>
              <w:t>Address: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86"/>
              </w:rPr>
              <w:t>Phone: ( </w:t>
            </w: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75"/>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r>
      <w:tr>
        <w:trPr>
          <w:trHeight w:val="196"/>
        </w:trPr>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Fax: ( </w:t>
            </w:r>
          </w:p>
        </w:tc>
        <w:tc>
          <w:tcPr>
            <w:tcW w:w="1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77"/>
              </w:rPr>
              <w:t>)  </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r>
      <w:tr>
        <w:trPr>
          <w:trHeight w:val="304"/>
        </w:trPr>
        <w:tc>
          <w:tcPr>
            <w:tcW w:w="11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2"/>
              </w:rPr>
              <w:t xml:space="preserve">If to </w:t>
            </w:r>
            <w:r>
              <w:rPr>
                <w:rFonts w:ascii="Times New Roman" w:cs="Times New Roman" w:eastAsia="Times New Roman" w:hAnsi="Times New Roman"/>
                <w:sz w:val="18"/>
                <w:szCs w:val="18"/>
                <w:b w:val="1"/>
                <w:bCs w:val="1"/>
                <w:color w:val="auto"/>
                <w:w w:val="92"/>
              </w:rPr>
              <w:t>Party B:</w:t>
            </w:r>
            <w:r>
              <w:rPr>
                <w:rFonts w:ascii="Times New Roman" w:cs="Times New Roman" w:eastAsia="Times New Roman" w:hAnsi="Times New Roman"/>
                <w:sz w:val="18"/>
                <w:szCs w:val="18"/>
                <w:color w:val="auto"/>
                <w:w w:val="92"/>
              </w:rPr>
              <w:t xml:space="preserve">  </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spacing w:after="0"/>
              <w:rPr>
                <w:sz w:val="24"/>
                <w:szCs w:val="24"/>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85"/>
              </w:rPr>
              <w:t>Address: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86"/>
              </w:rPr>
              <w:t>Phone: ( </w:t>
            </w: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75"/>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620" w:type="dxa"/>
            <w:vAlign w:val="bottom"/>
            <w:gridSpan w:val="2"/>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r>
      <w:tr>
        <w:trPr>
          <w:trHeight w:val="196"/>
        </w:trPr>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Fax: ( </w:t>
            </w:r>
          </w:p>
        </w:tc>
        <w:tc>
          <w:tcPr>
            <w:tcW w:w="1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77"/>
              </w:rPr>
              <w:t>)  </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424" w:hanging="424"/>
        <w:spacing w:after="0"/>
        <w:tabs>
          <w:tab w:leader="none" w:pos="42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21"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All Parties acknowledge and confirm that any oral or written materials exchanged by and between the Parties in connection with this Agreement are confidential. All Parties shall keep secret of all such documents and not disclose any such documents to any third party without prior written consent from other Parties, except for such information: (a) as are known or will be known by the public (except by disclosure of the receiving party without authorization); (b) as are required to be disclosed in accordance with applicable laws or stock exchange rules or regulations; or (c) as are required to be disclosed by any Party to its legal counsel or financial consultant for the purpose of the transaction of this Agreement, provided that such legal counsel or financial consultant shall also be subject to the confidentiality obligation similar to that stated hereof. Any disclosure by employees or agencies employed by any Party shall be deemed the disclosure of such Party and such Party shall assume the liabilities for its breach of contract pursuant to this Agreement. This Article shall survive even if this Agreement is judged as void, cancelled, terminated or impractical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270" w:right="499" w:bottom="1440" w:gutter="0" w:footer="0" w:header="0"/>
        </w:sectPr>
      </w:pPr>
    </w:p>
    <w:bookmarkStart w:id="212" w:name="page213"/>
    <w:bookmarkEnd w:id="212"/>
    <w:p>
      <w:pPr>
        <w:ind w:left="424" w:hanging="424"/>
        <w:spacing w:after="0"/>
        <w:tabs>
          <w:tab w:leader="none" w:pos="42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and Dispute Resolution</w:t>
      </w:r>
    </w:p>
    <w:p>
      <w:pPr>
        <w:spacing w:after="0" w:line="135" w:lineRule="exact"/>
        <w:rPr>
          <w:sz w:val="20"/>
          <w:szCs w:val="20"/>
          <w:color w:val="auto"/>
        </w:rPr>
      </w:pPr>
    </w:p>
    <w:p>
      <w:pPr>
        <w:ind w:left="424" w:right="80" w:hanging="431"/>
        <w:spacing w:after="0" w:line="282" w:lineRule="auto"/>
        <w:rPr>
          <w:sz w:val="20"/>
          <w:szCs w:val="20"/>
          <w:color w:val="auto"/>
        </w:rPr>
      </w:pPr>
      <w:r>
        <w:rPr>
          <w:rFonts w:ascii="Times New Roman" w:cs="Times New Roman" w:eastAsia="Times New Roman" w:hAnsi="Times New Roman"/>
          <w:sz w:val="18"/>
          <w:szCs w:val="18"/>
          <w:color w:val="auto"/>
        </w:rPr>
        <w:t>12.1 The formation, validity, interpretation, performance and termination of this Agreement and the amendment hereto as well as the resolution of any disputes arising hereunder shall be governed by the PRC laws.</w:t>
      </w:r>
    </w:p>
    <w:p>
      <w:pPr>
        <w:spacing w:after="0" w:line="67" w:lineRule="exact"/>
        <w:rPr>
          <w:sz w:val="20"/>
          <w:szCs w:val="20"/>
          <w:color w:val="auto"/>
        </w:rPr>
      </w:pPr>
    </w:p>
    <w:p>
      <w:pPr>
        <w:ind w:left="424" w:right="20" w:hanging="431"/>
        <w:spacing w:after="0" w:line="258" w:lineRule="auto"/>
        <w:rPr>
          <w:sz w:val="20"/>
          <w:szCs w:val="20"/>
          <w:color w:val="auto"/>
        </w:rPr>
      </w:pPr>
      <w:r>
        <w:rPr>
          <w:rFonts w:ascii="Times New Roman" w:cs="Times New Roman" w:eastAsia="Times New Roman" w:hAnsi="Times New Roman"/>
          <w:sz w:val="18"/>
          <w:szCs w:val="18"/>
          <w:color w:val="auto"/>
        </w:rPr>
        <w:t>12.2 Any disputes arising from the interpretation and performance of this Agreement shall first be resolved through friendly consultation among the Parties. In case no settlement can be reached through consultation within thirty (30) days after the request for consultation is made by any Party with a written notice, any Party can submit such disputes to Shanghai International Economic and Trade Arbitration Commission for arbitration in accordance with its then effective rules. The arbitration shall take place in Shanghai. The arbitration proceedings shall be conducted in Chinese. The arbitration award shall be final and binding upon both Parties.</w:t>
      </w:r>
    </w:p>
    <w:p>
      <w:pPr>
        <w:spacing w:after="0" w:line="89" w:lineRule="exact"/>
        <w:rPr>
          <w:sz w:val="20"/>
          <w:szCs w:val="20"/>
          <w:color w:val="auto"/>
        </w:rPr>
      </w:pPr>
    </w:p>
    <w:p>
      <w:pPr>
        <w:ind w:left="424" w:right="280" w:hanging="431"/>
        <w:spacing w:after="0" w:line="282" w:lineRule="auto"/>
        <w:rPr>
          <w:sz w:val="20"/>
          <w:szCs w:val="20"/>
          <w:color w:val="auto"/>
        </w:rPr>
      </w:pPr>
      <w:r>
        <w:rPr>
          <w:rFonts w:ascii="Times New Roman" w:cs="Times New Roman" w:eastAsia="Times New Roman" w:hAnsi="Times New Roman"/>
          <w:sz w:val="18"/>
          <w:szCs w:val="18"/>
          <w:color w:val="auto"/>
        </w:rPr>
        <w:t>12.3 If any dispute arises from the interpretation and performance of this Agreement or any dispute is under arbitration, the Parties shall continue to perform their respective rights and obligations hereunder other than those in dispute.</w:t>
      </w:r>
    </w:p>
    <w:p>
      <w:pPr>
        <w:spacing w:after="0" w:line="306" w:lineRule="exact"/>
        <w:rPr>
          <w:sz w:val="20"/>
          <w:szCs w:val="20"/>
          <w:color w:val="auto"/>
        </w:rPr>
      </w:pPr>
    </w:p>
    <w:p>
      <w:pPr>
        <w:ind w:left="424" w:hanging="424"/>
        <w:spacing w:after="0"/>
        <w:tabs>
          <w:tab w:leader="none" w:pos="424"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424" w:right="100" w:hanging="431"/>
        <w:spacing w:after="0" w:line="282" w:lineRule="auto"/>
        <w:rPr>
          <w:sz w:val="20"/>
          <w:szCs w:val="20"/>
          <w:color w:val="auto"/>
        </w:rPr>
      </w:pPr>
      <w:r>
        <w:rPr>
          <w:rFonts w:ascii="Times New Roman" w:cs="Times New Roman" w:eastAsia="Times New Roman" w:hAnsi="Times New Roman"/>
          <w:sz w:val="18"/>
          <w:szCs w:val="18"/>
          <w:color w:val="auto"/>
        </w:rPr>
        <w:t>13.1 The headings contained in this Agreement are for the convenience of reference only and shall not be used to interpret, explain or otherwise affect the meaning of the provisions of this Agreement.</w:t>
      </w:r>
    </w:p>
    <w:p>
      <w:pPr>
        <w:spacing w:after="0" w:line="67" w:lineRule="exact"/>
        <w:rPr>
          <w:sz w:val="20"/>
          <w:szCs w:val="20"/>
          <w:color w:val="auto"/>
        </w:rPr>
      </w:pPr>
    </w:p>
    <w:p>
      <w:pPr>
        <w:ind w:left="424" w:right="180" w:hanging="431"/>
        <w:spacing w:after="0" w:line="282" w:lineRule="auto"/>
        <w:rPr>
          <w:sz w:val="20"/>
          <w:szCs w:val="20"/>
          <w:color w:val="auto"/>
        </w:rPr>
      </w:pPr>
      <w:r>
        <w:rPr>
          <w:rFonts w:ascii="Times New Roman" w:cs="Times New Roman" w:eastAsia="Times New Roman" w:hAnsi="Times New Roman"/>
          <w:sz w:val="18"/>
          <w:szCs w:val="18"/>
          <w:color w:val="auto"/>
        </w:rPr>
        <w:t>13.2 The Parties agree to promptly execute such documents, or take such further actions, as are reasonably necessary or beneficial for performing the provisions or achieving the purposes hereof.</w:t>
      </w:r>
    </w:p>
    <w:p>
      <w:pPr>
        <w:spacing w:after="0" w:line="67" w:lineRule="exact"/>
        <w:rPr>
          <w:sz w:val="20"/>
          <w:szCs w:val="20"/>
          <w:color w:val="auto"/>
        </w:rPr>
      </w:pPr>
    </w:p>
    <w:p>
      <w:pPr>
        <w:jc w:val="both"/>
        <w:ind w:left="424" w:right="280" w:hanging="431"/>
        <w:spacing w:after="0" w:line="266" w:lineRule="auto"/>
        <w:rPr>
          <w:sz w:val="20"/>
          <w:szCs w:val="20"/>
          <w:color w:val="auto"/>
        </w:rPr>
      </w:pPr>
      <w:r>
        <w:rPr>
          <w:rFonts w:ascii="Times New Roman" w:cs="Times New Roman" w:eastAsia="Times New Roman" w:hAnsi="Times New Roman"/>
          <w:sz w:val="18"/>
          <w:szCs w:val="18"/>
          <w:color w:val="auto"/>
        </w:rPr>
        <w:t>13.3 The Parties confirm that this Agreement shall, upon its effectiveness, constitute the entire agreement and common understanding of the Parties with respect to the contents herein and fully supersede all prior verbal and/or written agreements and understandings between the Parties with respect to the contents herein.</w:t>
      </w:r>
    </w:p>
    <w:p>
      <w:pPr>
        <w:spacing w:after="0" w:line="81" w:lineRule="exact"/>
        <w:rPr>
          <w:sz w:val="20"/>
          <w:szCs w:val="20"/>
          <w:color w:val="auto"/>
        </w:rPr>
      </w:pPr>
    </w:p>
    <w:p>
      <w:pPr>
        <w:ind w:left="424" w:hanging="431"/>
        <w:spacing w:after="0" w:line="258" w:lineRule="auto"/>
        <w:rPr>
          <w:sz w:val="20"/>
          <w:szCs w:val="20"/>
          <w:color w:val="auto"/>
        </w:rPr>
      </w:pPr>
      <w:r>
        <w:rPr>
          <w:rFonts w:ascii="Times New Roman" w:cs="Times New Roman" w:eastAsia="Times New Roman" w:hAnsi="Times New Roman"/>
          <w:sz w:val="18"/>
          <w:szCs w:val="18"/>
          <w:color w:val="auto"/>
        </w:rPr>
        <w:t>13.4 If any one or more provisions of this Agreement is identified or judged by a court of competent jurisdiction or arbitration authority as void, invalid or unenforceable in any respect according to any laws or regulations, the validity, legality and enforceability of the other provisions hereof shall not be affected or impaired in any way. The Parties shall cease performing such void, invalid or unenforceable provisions and revise those void, invalid or unenforceable provisions only to the extent closest to the original intention thereof to recover its validity or enforceability for such specific facts and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266" w:right="479" w:bottom="1440" w:gutter="0" w:footer="0" w:header="0"/>
        </w:sectPr>
      </w:pPr>
    </w:p>
    <w:bookmarkStart w:id="213" w:name="page214"/>
    <w:bookmarkEnd w:id="213"/>
    <w:p>
      <w:pPr>
        <w:ind w:left="420" w:right="240" w:hanging="43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13.5 Party B hereby agrees and confirms that, (i) if Party B dies or loses or be limited from his/her full capacity for civil conducts, his/her rights and obligations hereunder will be immediately transferred to and succeeded by Party A’s Designated Person, or Party A is allowed to exercise all rights, including but not limited to have the equity interests of Ctrip Commerce held by Party B transferred to Party A’s Designated Person;</w:t>
      </w:r>
    </w:p>
    <w:p>
      <w:pPr>
        <w:spacing w:after="0" w:line="1" w:lineRule="exact"/>
        <w:rPr>
          <w:sz w:val="20"/>
          <w:szCs w:val="20"/>
          <w:color w:val="auto"/>
        </w:rPr>
      </w:pPr>
    </w:p>
    <w:p>
      <w:pPr>
        <w:ind w:left="420" w:firstLine="8"/>
        <w:spacing w:after="0" w:line="253" w:lineRule="auto"/>
        <w:tabs>
          <w:tab w:leader="none" w:pos="68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may assign its rights and obligations under this Agreement to Party A’s Designated Person as Party A may decide at its sole discretion, and such assignment to Party B’s successor and guardian shall only be subject to a written notice sent to Party B at the time of transfer, without subject to its consent. When and as requested by Party A, Party B shall execute with the assignee a supplementary agreement or an agreement substantially the same as this Agreement.</w:t>
      </w:r>
    </w:p>
    <w:p>
      <w:pPr>
        <w:spacing w:after="0" w:line="94" w:lineRule="exact"/>
        <w:rPr>
          <w:sz w:val="20"/>
          <w:szCs w:val="20"/>
          <w:color w:val="auto"/>
        </w:rPr>
      </w:pPr>
    </w:p>
    <w:p>
      <w:pPr>
        <w:ind w:left="420" w:right="340" w:hanging="431"/>
        <w:spacing w:after="0" w:line="282" w:lineRule="auto"/>
        <w:rPr>
          <w:sz w:val="20"/>
          <w:szCs w:val="20"/>
          <w:color w:val="auto"/>
        </w:rPr>
      </w:pPr>
      <w:r>
        <w:rPr>
          <w:rFonts w:ascii="Times New Roman" w:cs="Times New Roman" w:eastAsia="Times New Roman" w:hAnsi="Times New Roman"/>
          <w:sz w:val="18"/>
          <w:szCs w:val="18"/>
          <w:color w:val="auto"/>
        </w:rPr>
        <w:t>13.6 This Agreement shall be effective and binding upon the Parties hereto and their respective inheritors, successors and assigns. Party B may not assign any of its rights, interests or obligations under this Agreement to any third party without prior written consent from Party A.</w:t>
      </w:r>
    </w:p>
    <w:p>
      <w:pPr>
        <w:spacing w:after="0" w:line="67" w:lineRule="exact"/>
        <w:rPr>
          <w:sz w:val="20"/>
          <w:szCs w:val="20"/>
          <w:color w:val="auto"/>
        </w:rPr>
      </w:pPr>
    </w:p>
    <w:p>
      <w:pPr>
        <w:ind w:left="420" w:right="300" w:hanging="431"/>
        <w:spacing w:after="0" w:line="282" w:lineRule="auto"/>
        <w:rPr>
          <w:sz w:val="20"/>
          <w:szCs w:val="20"/>
          <w:color w:val="auto"/>
        </w:rPr>
      </w:pPr>
      <w:r>
        <w:rPr>
          <w:rFonts w:ascii="Times New Roman" w:cs="Times New Roman" w:eastAsia="Times New Roman" w:hAnsi="Times New Roman"/>
          <w:sz w:val="18"/>
          <w:szCs w:val="18"/>
          <w:color w:val="auto"/>
        </w:rPr>
        <w:t>13.7 Any Party’s failure to exercise the rights under this Agreement in time shall not be deemed as its waiver of such rights and would not affect its future exercise of such rights.</w:t>
      </w:r>
    </w:p>
    <w:p>
      <w:pPr>
        <w:spacing w:after="0" w:line="67" w:lineRule="exact"/>
        <w:rPr>
          <w:sz w:val="20"/>
          <w:szCs w:val="20"/>
          <w:color w:val="auto"/>
        </w:rPr>
      </w:pPr>
    </w:p>
    <w:p>
      <w:pPr>
        <w:jc w:val="both"/>
        <w:ind w:left="420" w:right="220" w:hanging="431"/>
        <w:spacing w:after="0" w:line="266" w:lineRule="auto"/>
        <w:rPr>
          <w:sz w:val="20"/>
          <w:szCs w:val="20"/>
          <w:color w:val="auto"/>
        </w:rPr>
      </w:pPr>
      <w:r>
        <w:rPr>
          <w:rFonts w:ascii="Times New Roman" w:cs="Times New Roman" w:eastAsia="Times New Roman" w:hAnsi="Times New Roman"/>
          <w:sz w:val="18"/>
          <w:szCs w:val="18"/>
          <w:color w:val="auto"/>
        </w:rPr>
        <w:t>13.8 Any matters excluded in this Agreement shall be negotiated by the Parties. Any amendment and supplement to this Agreement and its exhibits shall be made by the Parties in writing. The amendment and/or supplement duly executed by each Party with respect to this Agreement shall be indispensable part of this Agreement and have the same legal effect as this Agreement.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  This Agreement is made in two (2) originals with each Party holding one (1) original. Each original has the same effect.</w:t>
      </w:r>
    </w:p>
    <w:p>
      <w:pPr>
        <w:spacing w:after="0" w:line="11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by the Parties or their respective authorized representatives on the date first above written.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214" w:name="page215"/>
    <w:bookmarkEnd w:id="214"/>
    <w:p>
      <w:pPr>
        <w:jc w:val="right"/>
        <w:ind w:right="34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page is execution page]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-5080</wp:posOffset>
            </wp:positionV>
            <wp:extent cx="19424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-7620</wp:posOffset>
            </wp:positionV>
            <wp:extent cx="19081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1908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Authorized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-19050</wp:posOffset>
            </wp:positionV>
            <wp:extent cx="11430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(stamp)</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-5080</wp:posOffset>
            </wp:positionV>
            <wp:extent cx="19424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-7620</wp:posOffset>
            </wp:positionV>
            <wp:extent cx="18853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schedule sets forth other major similar agreements the registrant entered into with each of its consolidated affiliated Chinese entities. Other than the information set forth below, there is no material difference between such other agreements and this exhibit.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100" w:type="dxa"/>
            <w:vAlign w:val="bottom"/>
            <w:tcBorders>
              <w:bottom w:val="single" w:sz="8" w:color="CCEEFF"/>
            </w:tcBorders>
          </w:tcPr>
          <w:p>
            <w:pPr>
              <w:spacing w:after="0"/>
              <w:rPr>
                <w:sz w:val="16"/>
                <w:szCs w:val="16"/>
                <w:color w:val="auto"/>
              </w:rPr>
            </w:pPr>
          </w:p>
        </w:tc>
        <w:tc>
          <w:tcPr>
            <w:tcW w:w="50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Execution Date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60" w:type="dxa"/>
            <w:vAlign w:val="bottom"/>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Party A (Lender): Ctrip Travel Network Technology</w:t>
            </w:r>
          </w:p>
        </w:tc>
        <w:tc>
          <w:tcPr>
            <w:tcW w:w="120" w:type="dxa"/>
            <w:vAlign w:val="bottom"/>
            <w:shd w:val="clear" w:color="auto" w:fill="CCEEFF"/>
          </w:tcPr>
          <w:p>
            <w:pPr>
              <w:spacing w:after="0"/>
              <w:rPr>
                <w:sz w:val="16"/>
                <w:szCs w:val="16"/>
                <w:color w:val="auto"/>
              </w:rPr>
            </w:pPr>
          </w:p>
        </w:tc>
        <w:tc>
          <w:tcPr>
            <w:tcW w:w="17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December 14, 2015</w:t>
            </w: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1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(Shanghai) Co., Ltd.</w:t>
            </w:r>
          </w:p>
        </w:tc>
        <w:tc>
          <w:tcPr>
            <w:tcW w:w="1720" w:type="dxa"/>
            <w:vAlign w:val="bottom"/>
            <w:gridSpan w:val="2"/>
            <w:vMerge w:val="continue"/>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180" w:type="dxa"/>
            <w:vAlign w:val="bottom"/>
            <w:gridSpan w:val="2"/>
            <w:vMerge w:val="continue"/>
            <w:shd w:val="clear" w:color="auto" w:fill="CCEEFF"/>
          </w:tcPr>
          <w:p>
            <w:pPr>
              <w:spacing w:after="0"/>
              <w:rPr>
                <w:sz w:val="10"/>
                <w:szCs w:val="10"/>
                <w:color w:val="auto"/>
              </w:rPr>
            </w:pPr>
          </w:p>
        </w:tc>
        <w:tc>
          <w:tcPr>
            <w:tcW w:w="17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 amended on</w:t>
            </w:r>
          </w:p>
        </w:tc>
        <w:tc>
          <w:tcPr>
            <w:tcW w:w="1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RMB91.8 million</w:t>
            </w:r>
          </w:p>
        </w:tc>
        <w:tc>
          <w:tcPr>
            <w:tcW w:w="0" w:type="dxa"/>
            <w:vAlign w:val="bottom"/>
          </w:tcPr>
          <w:p>
            <w:pPr>
              <w:spacing w:after="0"/>
              <w:rPr>
                <w:sz w:val="1"/>
                <w:szCs w:val="1"/>
                <w:color w:val="auto"/>
              </w:rPr>
            </w:pPr>
          </w:p>
        </w:tc>
      </w:tr>
      <w:tr>
        <w:trPr>
          <w:trHeight w:val="95"/>
        </w:trPr>
        <w:tc>
          <w:tcPr>
            <w:tcW w:w="2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Ctrip</w:t>
            </w:r>
          </w:p>
        </w:tc>
        <w:tc>
          <w:tcPr>
            <w:tcW w:w="51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Party B (Borrower): Maohua Sun</w:t>
            </w:r>
          </w:p>
        </w:tc>
        <w:tc>
          <w:tcPr>
            <w:tcW w:w="1720" w:type="dxa"/>
            <w:vAlign w:val="bottom"/>
            <w:gridSpan w:val="2"/>
            <w:vMerge w:val="continue"/>
            <w:shd w:val="clear" w:color="auto" w:fill="CCEEFF"/>
          </w:tcPr>
          <w:p>
            <w:pPr>
              <w:spacing w:after="0"/>
              <w:rPr>
                <w:sz w:val="8"/>
                <w:szCs w:val="8"/>
                <w:color w:val="auto"/>
              </w:rPr>
            </w:pPr>
          </w:p>
        </w:tc>
        <w:tc>
          <w:tcPr>
            <w:tcW w:w="1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20" w:type="dxa"/>
            <w:vAlign w:val="bottom"/>
            <w:gridSpan w:val="2"/>
            <w:vMerge w:val="continue"/>
            <w:shd w:val="clear" w:color="auto" w:fill="CCEEFF"/>
          </w:tcPr>
          <w:p>
            <w:pPr>
              <w:spacing w:after="0"/>
              <w:rPr>
                <w:sz w:val="10"/>
                <w:szCs w:val="10"/>
                <w:color w:val="auto"/>
              </w:rPr>
            </w:pPr>
          </w:p>
        </w:tc>
        <w:tc>
          <w:tcPr>
            <w:tcW w:w="5180" w:type="dxa"/>
            <w:vAlign w:val="bottom"/>
            <w:gridSpan w:val="2"/>
            <w:vMerge w:val="continue"/>
            <w:shd w:val="clear" w:color="auto" w:fill="CCEEFF"/>
          </w:tcPr>
          <w:p>
            <w:pPr>
              <w:spacing w:after="0"/>
              <w:rPr>
                <w:sz w:val="10"/>
                <w:szCs w:val="10"/>
                <w:color w:val="auto"/>
              </w:rPr>
            </w:pPr>
          </w:p>
        </w:tc>
        <w:tc>
          <w:tcPr>
            <w:tcW w:w="17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April 9, 2019)</w:t>
            </w:r>
          </w:p>
        </w:tc>
        <w:tc>
          <w:tcPr>
            <w:tcW w:w="1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5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Commerce Co., Ltd.</w:t>
            </w:r>
          </w:p>
        </w:tc>
        <w:tc>
          <w:tcPr>
            <w:tcW w:w="51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Party A (Lender): Ctrip Travel Network Technology</w:t>
            </w:r>
          </w:p>
        </w:tc>
        <w:tc>
          <w:tcPr>
            <w:tcW w:w="1720" w:type="dxa"/>
            <w:vAlign w:val="bottom"/>
            <w:gridSpan w:val="2"/>
            <w:vMerge w:val="continue"/>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520" w:type="dxa"/>
            <w:vAlign w:val="bottom"/>
            <w:gridSpan w:val="2"/>
            <w:vMerge w:val="continue"/>
            <w:shd w:val="clear" w:color="auto" w:fill="CCEEFF"/>
          </w:tcPr>
          <w:p>
            <w:pPr>
              <w:spacing w:after="0"/>
              <w:rPr>
                <w:sz w:val="8"/>
                <w:szCs w:val="8"/>
                <w:color w:val="auto"/>
              </w:rPr>
            </w:pPr>
          </w:p>
        </w:tc>
        <w:tc>
          <w:tcPr>
            <w:tcW w:w="5180" w:type="dxa"/>
            <w:vAlign w:val="bottom"/>
            <w:gridSpan w:val="2"/>
            <w:vMerge w:val="continue"/>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RMB808.2 million</w:t>
            </w:r>
          </w:p>
        </w:tc>
        <w:tc>
          <w:tcPr>
            <w:tcW w:w="0" w:type="dxa"/>
            <w:vAlign w:val="bottom"/>
          </w:tcPr>
          <w:p>
            <w:pPr>
              <w:spacing w:after="0"/>
              <w:rPr>
                <w:sz w:val="1"/>
                <w:szCs w:val="1"/>
                <w:color w:val="auto"/>
              </w:rPr>
            </w:pPr>
          </w:p>
        </w:tc>
      </w:tr>
      <w:tr>
        <w:trPr>
          <w:trHeight w:val="140"/>
        </w:trPr>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1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(Shanghai) Co., Ltd.</w:t>
            </w:r>
          </w:p>
        </w:tc>
        <w:tc>
          <w:tcPr>
            <w:tcW w:w="17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8, 2021</w:t>
            </w:r>
          </w:p>
        </w:tc>
        <w:tc>
          <w:tcPr>
            <w:tcW w:w="1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180" w:type="dxa"/>
            <w:vAlign w:val="bottom"/>
            <w:gridSpan w:val="2"/>
            <w:vMerge w:val="continue"/>
            <w:shd w:val="clear" w:color="auto" w:fill="CCEEFF"/>
          </w:tcPr>
          <w:p>
            <w:pPr>
              <w:spacing w:after="0"/>
              <w:rPr>
                <w:sz w:val="6"/>
                <w:szCs w:val="6"/>
                <w:color w:val="auto"/>
              </w:rPr>
            </w:pPr>
          </w:p>
        </w:tc>
        <w:tc>
          <w:tcPr>
            <w:tcW w:w="1720" w:type="dxa"/>
            <w:vAlign w:val="bottom"/>
            <w:gridSpan w:val="2"/>
            <w:vMerge w:val="continue"/>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1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Party B (Borrower): Bo Sun</w:t>
            </w:r>
          </w:p>
        </w:tc>
        <w:tc>
          <w:tcPr>
            <w:tcW w:w="1720" w:type="dxa"/>
            <w:vAlign w:val="bottom"/>
            <w:gridSpan w:val="2"/>
            <w:vMerge w:val="continue"/>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180" w:type="dxa"/>
            <w:vAlign w:val="bottom"/>
            <w:gridSpan w:val="2"/>
            <w:vMerge w:val="continue"/>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EXCLUSIVE CALL OPTION AGREEMENT</w:t>
      </w:r>
    </w:p>
    <w:p>
      <w:pPr>
        <w:spacing w:after="0" w:line="22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This Exclusive Call Option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in Shanghai,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as of         by and among the following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6442075</wp:posOffset>
            </wp:positionH>
            <wp:positionV relativeFrom="paragraph">
              <wp:posOffset>-186690</wp:posOffset>
            </wp:positionV>
            <wp:extent cx="4572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62" w:lineRule="exact"/>
        <w:rPr>
          <w:sz w:val="20"/>
          <w:szCs w:val="20"/>
          <w:color w:val="auto"/>
        </w:rPr>
      </w:pPr>
    </w:p>
    <w:p>
      <w:pPr>
        <w:ind w:left="424" w:hanging="424"/>
        <w:spacing w:after="0"/>
        <w:tabs>
          <w:tab w:leader="none" w:pos="4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-5080</wp:posOffset>
            </wp:positionV>
            <wp:extent cx="14852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-19050</wp:posOffset>
            </wp:positionV>
            <wp:extent cx="14852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(2)</w:t>
            </w: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3"/>
              </w:rPr>
              <w:t>Party B:</w:t>
            </w:r>
            <w:r>
              <w:rPr>
                <w:rFonts w:ascii="Times New Roman" w:cs="Times New Roman" w:eastAsia="Times New Roman" w:hAnsi="Times New Roman"/>
                <w:sz w:val="18"/>
                <w:szCs w:val="18"/>
                <w:color w:val="auto"/>
                <w:w w:val="93"/>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7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9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 xml:space="preserve">Sex: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360" w:type="dxa"/>
            <w:vAlign w:val="bottom"/>
            <w:gridSpan w:val="13"/>
          </w:tcPr>
          <w:p>
            <w:pPr>
              <w:ind w:left="120"/>
              <w:spacing w:after="0" w:line="196" w:lineRule="exact"/>
              <w:rPr>
                <w:sz w:val="20"/>
                <w:szCs w:val="20"/>
                <w:color w:val="auto"/>
              </w:rPr>
            </w:pPr>
            <w:r>
              <w:rPr>
                <w:rFonts w:ascii="Times New Roman" w:cs="Times New Roman" w:eastAsia="Times New Roman" w:hAnsi="Times New Roman"/>
                <w:sz w:val="18"/>
                <w:szCs w:val="18"/>
                <w:color w:val="auto"/>
                <w:w w:val="95"/>
              </w:rPr>
              <w:t>PRC Identification Card No.: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7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9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w w:val="92"/>
              </w:rPr>
              <w:t>Address: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and</w:t>
            </w:r>
          </w:p>
        </w:tc>
      </w:tr>
      <w:tr>
        <w:trPr>
          <w:trHeight w:val="20"/>
        </w:trPr>
        <w:tc>
          <w:tcPr>
            <w:tcW w:w="320" w:type="dxa"/>
            <w:vAlign w:val="bottom"/>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(3)</w:t>
            </w: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Party C:</w:t>
            </w:r>
            <w:r>
              <w:rPr>
                <w:rFonts w:ascii="Times New Roman" w:cs="Times New Roman" w:eastAsia="Times New Roman" w:hAnsi="Times New Roman"/>
                <w:sz w:val="18"/>
                <w:szCs w:val="18"/>
                <w:color w:val="auto"/>
                <w:w w:val="92"/>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74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9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w w:val="92"/>
              </w:rPr>
              <w:t>Address: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7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this Agreement, Party A, Party B and Party C are hereinafter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56" w:lineRule="exact"/>
        <w:rPr>
          <w:sz w:val="20"/>
          <w:szCs w:val="20"/>
          <w:color w:val="auto"/>
        </w:rPr>
      </w:pPr>
    </w:p>
    <w:p>
      <w:pPr>
        <w:ind w:left="424" w:hanging="424"/>
        <w:spacing w:after="0"/>
        <w:tabs>
          <w:tab w:leader="none" w:pos="42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 owned enterprise duly incorporated and validly existing under the PRC laws.</w:t>
      </w:r>
    </w:p>
    <w:p>
      <w:pPr>
        <w:spacing w:after="0" w:line="252"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is a limited liability company duly incorporated and validly existing under the PRC laws, and Party B is the registered shareholder of Party C duly holding ___% of its equity interests.</w:t>
      </w:r>
    </w:p>
    <w:p>
      <w:pPr>
        <w:spacing w:after="0" w:line="185" w:lineRule="exact"/>
        <w:rPr>
          <w:sz w:val="20"/>
          <w:szCs w:val="20"/>
          <w:color w:val="auto"/>
        </w:rPr>
      </w:pPr>
    </w:p>
    <w:p>
      <w:pPr>
        <w:ind w:left="4"/>
        <w:spacing w:after="0"/>
        <w:tabs>
          <w:tab w:leader="none" w:pos="404" w:val="left"/>
          <w:tab w:leader="none" w:pos="5344" w:val="left"/>
        </w:tabs>
        <w:rPr>
          <w:sz w:val="20"/>
          <w:szCs w:val="20"/>
          <w:color w:val="auto"/>
        </w:rPr>
      </w:pPr>
      <w:r>
        <w:rPr>
          <w:rFonts w:ascii="Times New Roman" w:cs="Times New Roman" w:eastAsia="Times New Roman" w:hAnsi="Times New Roman"/>
          <w:sz w:val="18"/>
          <w:szCs w:val="18"/>
          <w:color w:val="auto"/>
        </w:rPr>
        <w:t>(3)</w:t>
        <w:tab/>
        <w:t xml:space="preserve">Party A and Party B entered into a Loan Agreement as of           </w:t>
      </w:r>
      <w:r>
        <w:rPr>
          <w:sz w:val="20"/>
          <w:szCs w:val="20"/>
          <w:color w:val="auto"/>
        </w:rPr>
        <w:tab/>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Loan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-5080</wp:posOffset>
            </wp:positionV>
            <wp:extent cx="4572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36" w:lineRule="exact"/>
        <w:rPr>
          <w:sz w:val="20"/>
          <w:szCs w:val="20"/>
          <w:color w:val="auto"/>
        </w:rPr>
      </w:pPr>
    </w:p>
    <w:p>
      <w:pPr>
        <w:ind w:left="424" w:right="220" w:hanging="424"/>
        <w:spacing w:after="0" w:line="282" w:lineRule="auto"/>
        <w:tabs>
          <w:tab w:leader="none" w:pos="4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to grant Party A through this Agreement with, and Party A agrees to accept, an exclusive call option to purchase all or part of the equity interests held by Party B in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217" w:name="page218"/>
    <w:bookmarkEnd w:id="21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Times New Roman" w:cs="Times New Roman" w:eastAsia="Times New Roman" w:hAnsi="Times New Roman"/>
          <w:sz w:val="18"/>
          <w:szCs w:val="18"/>
          <w:color w:val="auto"/>
        </w:rPr>
        <w:t>, Upon mutual consultation, the Parties hereby agree as follows:</w:t>
      </w:r>
    </w:p>
    <w:p>
      <w:pPr>
        <w:spacing w:after="0" w:line="252" w:lineRule="exact"/>
        <w:rPr>
          <w:sz w:val="20"/>
          <w:szCs w:val="20"/>
          <w:color w:val="auto"/>
        </w:rPr>
      </w:pPr>
    </w:p>
    <w:p>
      <w:pPr>
        <w:ind w:left="424" w:hanging="424"/>
        <w:spacing w:after="0"/>
        <w:tabs>
          <w:tab w:leader="none" w:pos="424"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Call Option</w:t>
      </w:r>
    </w:p>
    <w:p>
      <w:pPr>
        <w:spacing w:after="0" w:line="256"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Grant of Right</w:t>
      </w:r>
    </w:p>
    <w:p>
      <w:pPr>
        <w:spacing w:after="0" w:line="221" w:lineRule="exact"/>
        <w:rPr>
          <w:sz w:val="20"/>
          <w:szCs w:val="20"/>
          <w:color w:val="auto"/>
        </w:rPr>
      </w:pPr>
    </w:p>
    <w:p>
      <w:pPr>
        <w:ind w:left="444" w:right="40" w:firstLine="423"/>
        <w:spacing w:after="0" w:line="254" w:lineRule="auto"/>
        <w:rPr>
          <w:sz w:val="20"/>
          <w:szCs w:val="20"/>
          <w:color w:val="auto"/>
        </w:rPr>
      </w:pPr>
      <w:r>
        <w:rPr>
          <w:rFonts w:ascii="Times New Roman" w:cs="Times New Roman" w:eastAsia="Times New Roman" w:hAnsi="Times New Roman"/>
          <w:sz w:val="18"/>
          <w:szCs w:val="18"/>
          <w:color w:val="auto"/>
        </w:rPr>
        <w:t>Party B hereby exclusively and irrevocably grants Party A an exclusive call option (the “</w:t>
      </w: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 which permits Party A to purchase or designate one or several person(s) (“</w:t>
      </w:r>
      <w:r>
        <w:rPr>
          <w:rFonts w:ascii="Times New Roman" w:cs="Times New Roman" w:eastAsia="Times New Roman" w:hAnsi="Times New Roman"/>
          <w:sz w:val="18"/>
          <w:szCs w:val="18"/>
          <w:b w:val="1"/>
          <w:bCs w:val="1"/>
          <w:color w:val="auto"/>
        </w:rPr>
        <w:t>Party A’s Designated Person</w:t>
      </w:r>
      <w:r>
        <w:rPr>
          <w:rFonts w:ascii="Times New Roman" w:cs="Times New Roman" w:eastAsia="Times New Roman" w:hAnsi="Times New Roman"/>
          <w:sz w:val="18"/>
          <w:szCs w:val="18"/>
          <w:color w:val="auto"/>
        </w:rPr>
        <w:t>”) to purchase all or part of the equity interests held by Party B in Party C (the “</w:t>
      </w:r>
      <w:r>
        <w:rPr>
          <w:rFonts w:ascii="Times New Roman" w:cs="Times New Roman" w:eastAsia="Times New Roman" w:hAnsi="Times New Roman"/>
          <w:sz w:val="18"/>
          <w:szCs w:val="18"/>
          <w:b w:val="1"/>
          <w:bCs w:val="1"/>
          <w:color w:val="auto"/>
        </w:rPr>
        <w:t>Target Equity</w:t>
      </w:r>
      <w:r>
        <w:rPr>
          <w:rFonts w:ascii="Times New Roman" w:cs="Times New Roman" w:eastAsia="Times New Roman" w:hAnsi="Times New Roman"/>
          <w:sz w:val="18"/>
          <w:szCs w:val="18"/>
          <w:color w:val="auto"/>
        </w:rPr>
        <w:t>”) at any time from Party B at the price specified in Article 1.3 of this Agreement in accordance with the procedure determined by Party A at its own discretion and to the extent permitted by the PRC laws. Party A shall have the right to decide any Party A’s Designated Person to be the transferee of and acquire all or part of the Target Equity; Party B shall not refuse, and shall assign and transfer the Target Equity to such Party A’s Designated Person as requested by Party A. No third party other than Party A and Party A’s Designated Person may be entitled to the Call Option. Party C hereby agrees with Party B’s grant of the Call Option to Party A. The “person” set forth in this paragraph and this Agreement means any individual, corporation, joint venture, partnership, enterprise, trust or other non-corporation organization.</w:t>
      </w:r>
    </w:p>
    <w:p>
      <w:pPr>
        <w:spacing w:after="0" w:line="219"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Exercise Procedure</w:t>
      </w:r>
    </w:p>
    <w:p>
      <w:pPr>
        <w:spacing w:after="0" w:line="225" w:lineRule="exact"/>
        <w:rPr>
          <w:sz w:val="20"/>
          <w:szCs w:val="20"/>
          <w:color w:val="auto"/>
        </w:rPr>
      </w:pPr>
    </w:p>
    <w:p>
      <w:pPr>
        <w:ind w:left="444" w:right="80" w:firstLine="423"/>
        <w:spacing w:after="0" w:line="255" w:lineRule="auto"/>
        <w:rPr>
          <w:sz w:val="20"/>
          <w:szCs w:val="20"/>
          <w:color w:val="auto"/>
        </w:rPr>
      </w:pPr>
      <w:r>
        <w:rPr>
          <w:rFonts w:ascii="Times New Roman" w:cs="Times New Roman" w:eastAsia="Times New Roman" w:hAnsi="Times New Roman"/>
          <w:sz w:val="18"/>
          <w:szCs w:val="18"/>
          <w:color w:val="auto"/>
        </w:rPr>
        <w:t>Subject to the PRC laws and regulations, Party A may exercise the Call Option pursuant to Article 1.1 hereinabove by issuing a written notice (the “</w:t>
      </w:r>
      <w:r>
        <w:rPr>
          <w:rFonts w:ascii="Times New Roman" w:cs="Times New Roman" w:eastAsia="Times New Roman" w:hAnsi="Times New Roman"/>
          <w:sz w:val="18"/>
          <w:szCs w:val="18"/>
          <w:b w:val="1"/>
          <w:bCs w:val="1"/>
          <w:color w:val="auto"/>
        </w:rPr>
        <w:t>Purchase Notice</w:t>
      </w:r>
      <w:r>
        <w:rPr>
          <w:rFonts w:ascii="Times New Roman" w:cs="Times New Roman" w:eastAsia="Times New Roman" w:hAnsi="Times New Roman"/>
          <w:sz w:val="18"/>
          <w:szCs w:val="18"/>
          <w:color w:val="auto"/>
        </w:rPr>
        <w:t>”) to Party B specifying the specific percentage of equity interest to be purchased from Party B (the “</w:t>
      </w: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and the manner of purchase. Party A may exercise the Call Option for unlimited number of times. Within seven (7) working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upon the receipt of the Purchase Notice by Party B, Party B shall enter into an equity transfer agreement with Party A and/or its Designated Person in the form attached hereto or any other form accepted by Party A to ensure the Purchased Equity Interest can be transferred to Party A and/or Party A’s Designated Person as soon as practicable and shall take any necessary action to ensure the prompt completion of the corresponding change formalities at relevant Administration for Industry and Commerce.</w:t>
      </w:r>
    </w:p>
    <w:p>
      <w:pPr>
        <w:spacing w:after="0" w:line="216"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auto"/>
        </w:rPr>
        <w:t>Purchase Price</w:t>
      </w:r>
    </w:p>
    <w:p>
      <w:pPr>
        <w:spacing w:after="0" w:line="221" w:lineRule="exact"/>
        <w:rPr>
          <w:sz w:val="20"/>
          <w:szCs w:val="20"/>
          <w:color w:val="auto"/>
        </w:rPr>
      </w:pPr>
    </w:p>
    <w:p>
      <w:pPr>
        <w:ind w:left="444" w:firstLine="423"/>
        <w:spacing w:after="0" w:line="259" w:lineRule="auto"/>
        <w:rPr>
          <w:sz w:val="20"/>
          <w:szCs w:val="20"/>
          <w:color w:val="auto"/>
        </w:rPr>
      </w:pPr>
      <w:r>
        <w:rPr>
          <w:rFonts w:ascii="Times New Roman" w:cs="Times New Roman" w:eastAsia="Times New Roman" w:hAnsi="Times New Roman"/>
          <w:sz w:val="18"/>
          <w:szCs w:val="18"/>
          <w:color w:val="auto"/>
        </w:rPr>
        <w:t>The Parties agree that the purchase price of the Purchased Equity Interest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be equal to the contribution actually made by Party B for the Purchased Equity Interest, unless the applicable PRC laws and regulations at the time of Party A’s exercise of the Call Option require valuation of the Purchased Equity Interest or otherwise impose restriction on the Purchase Price. If the lowest price permissible under the applicable laws is higher than the contribution actually made or paid by Party B for the Purchased Equity Interest, the amount exceeded shall be repaid to Party A by Party B according to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4"/>
          </w:cols>
          <w:pgMar w:left="436" w:top="266" w:right="5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1.4</w:t>
            </w:r>
          </w:p>
        </w:tc>
        <w:tc>
          <w:tcPr>
            <w:tcW w:w="200" w:type="dxa"/>
            <w:vAlign w:val="bottom"/>
          </w:tcPr>
          <w:p>
            <w:pPr>
              <w:spacing w:after="0"/>
              <w:rPr>
                <w:sz w:val="17"/>
                <w:szCs w:val="17"/>
                <w:color w:val="auto"/>
              </w:rPr>
            </w:pPr>
          </w:p>
        </w:tc>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Transfer of the Purchased Equity Interest</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10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Each time the Call Option is exercised:</w:t>
            </w:r>
          </w:p>
        </w:tc>
      </w:tr>
      <w:tr>
        <w:trPr>
          <w:trHeight w:val="414"/>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(a) </w:t>
            </w:r>
          </w:p>
        </w:tc>
        <w:tc>
          <w:tcPr>
            <w:tcW w:w="9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Party B shall cause Party C to convene a shareholders’ meeting in time. At the meeting, a resolution shall be adopted to</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approve Party B’s transfer of equity interest to Party A and/or Party A’s Designated Person, and Party B shall sign a confirmation letter to</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waive its first right of refusal on the equity interest transferred by Party C’s other shareholder(s) to Party A and/or Party A’s Designated</w:t>
            </w:r>
          </w:p>
        </w:tc>
      </w:t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w:t>
            </w: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(b) </w:t>
            </w:r>
          </w:p>
        </w:tc>
        <w:tc>
          <w:tcPr>
            <w:tcW w:w="92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Party B shall, pursuant to the terms and conditions of this Agreement and the Purchase Notice in respect of the Purchased</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Equity Interest, enter into an equity transfer agreement with Party A and/or Party A’s Designated Person for each transfer in the form</w:t>
            </w:r>
          </w:p>
        </w:tc>
      </w:tr>
      <w:tr>
        <w:trPr>
          <w:trHeight w:val="194"/>
        </w:trPr>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20" w:type="dxa"/>
            <w:vAlign w:val="bottom"/>
            <w:gridSpan w:val="6"/>
          </w:tcPr>
          <w:p>
            <w:pPr>
              <w:ind w:left="20"/>
              <w:spacing w:after="0" w:line="194" w:lineRule="exact"/>
              <w:rPr>
                <w:sz w:val="20"/>
                <w:szCs w:val="20"/>
                <w:color w:val="auto"/>
              </w:rPr>
            </w:pPr>
            <w:r>
              <w:rPr>
                <w:rFonts w:ascii="Times New Roman" w:cs="Times New Roman" w:eastAsia="Times New Roman" w:hAnsi="Times New Roman"/>
                <w:sz w:val="18"/>
                <w:szCs w:val="18"/>
                <w:color w:val="auto"/>
              </w:rPr>
              <w:t>attached hereto as Exhibit 1 or any other form accepted by Party A;</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r>
      <w:tr>
        <w:trPr>
          <w:trHeight w:val="434"/>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(c) </w:t>
            </w:r>
          </w:p>
        </w:tc>
        <w:tc>
          <w:tcPr>
            <w:tcW w:w="9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The related Parties shall execute all other requisite contracts, agreements or documents, obtain all requisite governmental</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approvals and consents, and conduct all necessary actions, to transfer the ownership of the Purchased Equity Interest to Party A and/or</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9"/>
              </w:rPr>
              <w:t>Party A’s Designated Person without any security interest or other Encumbrances, and have Party A and/or Party A’s Designated Person be</w:t>
            </w:r>
          </w:p>
        </w:tc>
      </w:tr>
      <w:tr>
        <w:trPr>
          <w:trHeight w:val="212"/>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registered as the registered owner of the Purchased Equity Interest at Administration for Industry and Commerce. For purposes of this</w:t>
            </w:r>
          </w:p>
        </w:tc>
      </w:tr>
      <w:tr>
        <w:trPr>
          <w:trHeight w:val="220"/>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paragraph and this Agreement, “</w:t>
            </w:r>
            <w:r>
              <w:rPr>
                <w:rFonts w:ascii="Times New Roman" w:cs="Times New Roman" w:eastAsia="Times New Roman" w:hAnsi="Times New Roman"/>
                <w:sz w:val="18"/>
                <w:szCs w:val="18"/>
                <w:b w:val="1"/>
                <w:bCs w:val="1"/>
                <w:color w:val="auto"/>
              </w:rPr>
              <w:t>Encumbrances</w:t>
            </w:r>
            <w:r>
              <w:rPr>
                <w:rFonts w:ascii="Times New Roman" w:cs="Times New Roman" w:eastAsia="Times New Roman" w:hAnsi="Times New Roman"/>
                <w:sz w:val="18"/>
                <w:szCs w:val="18"/>
                <w:color w:val="auto"/>
              </w:rPr>
              <w:t>” mentioned herein include guarantees, mortgages, pledges, third-party rights or interests,</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any call option, right of purchase, right of first refusal, right of set-off, ownership detainment or other security arrangements, but for</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purpose of clarification, shall not include any security interest or encumbrances arising under this Agreement and the Equity Pledge</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Agreement. The Equity Pledge Agreement mentioned in this paragraph and this Agreement shall mean the Equity Pledge Agreement</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entered into by and between Party A and Party B as of the date hereof, pursuant to which Party B shall pledge to Party A all its equity</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interest in Party C to guarantee the performance by Party B and Party C of their obligations under this Agreement, the Loan Agreement</w:t>
            </w:r>
          </w:p>
        </w:tc>
      </w:t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and the Technical Consulting and Services Agreement, each entered into by and among the Parties.</w:t>
            </w:r>
          </w:p>
        </w:tc>
      </w:tr>
      <w:tr>
        <w:trPr>
          <w:trHeight w:val="414"/>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(d) </w:t>
            </w:r>
          </w:p>
        </w:tc>
        <w:tc>
          <w:tcPr>
            <w:tcW w:w="92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Party B and Party C shall unconditionally use its best efforts to assist Party A and Party A’s Designated Person in obtaining</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all governmental approvals, permits, registrations, filings and completing all formalities necessary for acquiring the Purchased Equity</w:t>
            </w:r>
          </w:p>
        </w:tc>
      </w:t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60" w:type="dxa"/>
            <w:vAlign w:val="bottom"/>
          </w:tcPr>
          <w:p>
            <w:pPr>
              <w:spacing w:after="0"/>
              <w:rPr>
                <w:sz w:val="20"/>
                <w:szCs w:val="20"/>
                <w:color w:val="auto"/>
              </w:rPr>
            </w:pPr>
          </w:p>
        </w:tc>
      </w:tr>
      <w:tr>
        <w:trPr>
          <w:trHeight w:val="418"/>
        </w:trPr>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1.5</w:t>
            </w:r>
          </w:p>
        </w:tc>
        <w:tc>
          <w:tcPr>
            <w:tcW w:w="20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Payment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60" w:type="dxa"/>
            <w:vAlign w:val="bottom"/>
          </w:tcPr>
          <w:p>
            <w:pPr>
              <w:spacing w:after="0"/>
              <w:rPr>
                <w:sz w:val="24"/>
                <w:szCs w:val="24"/>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0" w:right="120" w:firstLine="423"/>
        <w:spacing w:after="0" w:line="266" w:lineRule="auto"/>
        <w:rPr>
          <w:sz w:val="20"/>
          <w:szCs w:val="20"/>
          <w:color w:val="auto"/>
        </w:rPr>
      </w:pPr>
      <w:r>
        <w:rPr>
          <w:rFonts w:ascii="Times New Roman" w:cs="Times New Roman" w:eastAsia="Times New Roman" w:hAnsi="Times New Roman"/>
          <w:sz w:val="18"/>
          <w:szCs w:val="18"/>
          <w:color w:val="auto"/>
        </w:rPr>
        <w:t>Given that it is stipulated in the Loan Agreement that Party B shall use the entire proceeds from the transfer of its equity interest in Party C for repayment of the principal of the loan under the Loan Agreement and as the consideration for Party A’s grant of loan under the Loan Agreement, Party A or Party A’s Designated Person does not need to pay Purchase Price to Party B when exercising its Call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157480</wp:posOffset>
            </wp:positionV>
            <wp:extent cx="6995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560"/>
          </w:cols>
          <w:pgMar w:left="860" w:top="257" w:right="479" w:bottom="1440" w:gutter="0" w:footer="0" w:header="0"/>
        </w:sectPr>
      </w:pPr>
    </w:p>
    <w:bookmarkStart w:id="219" w:name="page220"/>
    <w:bookmarkEnd w:id="219"/>
    <w:p>
      <w:pPr>
        <w:ind w:left="424" w:hanging="424"/>
        <w:spacing w:after="0"/>
        <w:tabs>
          <w:tab w:leader="none" w:pos="424"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Covenants relating to the Equity Interest</w:t>
      </w:r>
    </w:p>
    <w:p>
      <w:pPr>
        <w:spacing w:after="0" w:line="25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Covenants relating to Party 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Party B and Party C hereby covenants:</w:t>
      </w:r>
    </w:p>
    <w:p>
      <w:pPr>
        <w:spacing w:after="0" w:line="225" w:lineRule="exact"/>
        <w:rPr>
          <w:sz w:val="20"/>
          <w:szCs w:val="20"/>
          <w:color w:val="auto"/>
        </w:rPr>
      </w:pPr>
    </w:p>
    <w:p>
      <w:pPr>
        <w:ind w:left="984" w:right="20" w:firstLine="401"/>
        <w:spacing w:after="0" w:line="282" w:lineRule="auto"/>
        <w:rPr>
          <w:sz w:val="20"/>
          <w:szCs w:val="20"/>
          <w:color w:val="auto"/>
        </w:rPr>
      </w:pPr>
      <w:r>
        <w:rPr>
          <w:rFonts w:ascii="Times New Roman" w:cs="Times New Roman" w:eastAsia="Times New Roman" w:hAnsi="Times New Roman"/>
          <w:sz w:val="18"/>
          <w:szCs w:val="18"/>
          <w:color w:val="auto"/>
        </w:rPr>
        <w:t>(a)    not to, in any form whatsoever, supplement, modify or amend the articles of association or organizational documents of Party C, increase or decrease the registered capital of Party C, or change its shareholding structure without prior written consent from Party A;</w:t>
      </w:r>
    </w:p>
    <w:p>
      <w:pPr>
        <w:spacing w:after="0" w:line="162" w:lineRule="exact"/>
        <w:rPr>
          <w:sz w:val="20"/>
          <w:szCs w:val="20"/>
          <w:color w:val="auto"/>
        </w:rPr>
      </w:pPr>
    </w:p>
    <w:p>
      <w:pPr>
        <w:ind w:left="984" w:right="560" w:firstLine="401"/>
        <w:spacing w:after="0" w:line="282" w:lineRule="auto"/>
        <w:rPr>
          <w:sz w:val="20"/>
          <w:szCs w:val="20"/>
          <w:color w:val="auto"/>
        </w:rPr>
      </w:pPr>
      <w:r>
        <w:rPr>
          <w:rFonts w:ascii="Times New Roman" w:cs="Times New Roman" w:eastAsia="Times New Roman" w:hAnsi="Times New Roman"/>
          <w:sz w:val="18"/>
          <w:szCs w:val="18"/>
          <w:color w:val="auto"/>
        </w:rPr>
        <w:t>(b)    to maintain the due existence of Party C, and prudently and efficiently operate and handle its business in line with fair finance and business standards and customs;</w:t>
      </w:r>
    </w:p>
    <w:p>
      <w:pPr>
        <w:spacing w:after="0" w:line="162" w:lineRule="exact"/>
        <w:rPr>
          <w:sz w:val="20"/>
          <w:szCs w:val="20"/>
          <w:color w:val="auto"/>
        </w:rPr>
      </w:pPr>
    </w:p>
    <w:p>
      <w:pPr>
        <w:ind w:left="984" w:right="60" w:firstLine="401"/>
        <w:spacing w:after="0" w:line="261" w:lineRule="auto"/>
        <w:rPr>
          <w:sz w:val="20"/>
          <w:szCs w:val="20"/>
          <w:color w:val="auto"/>
        </w:rPr>
      </w:pPr>
      <w:r>
        <w:rPr>
          <w:rFonts w:ascii="Times New Roman" w:cs="Times New Roman" w:eastAsia="Times New Roman" w:hAnsi="Times New Roman"/>
          <w:sz w:val="18"/>
          <w:szCs w:val="18"/>
          <w:color w:val="auto"/>
        </w:rPr>
        <w:t>(c)    not to make any act and/or omission that may adversely affect Party C’s assets, business and liabilities without prior written consent from Party A; at any time as of the date hereof, not to sell, transfer, pledge or otherwise dispose of any legal or beneficial interests in any of Party C’s assets, businesses or revenues, nor allow creation of other Encumbrances thereupon, including any security interests without prior written consent from Party A;</w:t>
      </w:r>
    </w:p>
    <w:p>
      <w:pPr>
        <w:spacing w:after="0" w:line="180"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(d)      not to incur, inherit, guarantee or allow the existence of any debt without prior written consent from Party A, except for</w:t>
      </w:r>
    </w:p>
    <w:p>
      <w:pPr>
        <w:spacing w:after="0" w:line="27" w:lineRule="exact"/>
        <w:rPr>
          <w:sz w:val="20"/>
          <w:szCs w:val="20"/>
          <w:color w:val="auto"/>
        </w:rPr>
      </w:pPr>
    </w:p>
    <w:p>
      <w:pPr>
        <w:ind w:left="984" w:firstLine="7"/>
        <w:spacing w:after="0" w:line="260" w:lineRule="auto"/>
        <w:tabs>
          <w:tab w:leader="none" w:pos="119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arising from ordinary or day-to-day business rather than from borrowing; and (ii) any debt which has been disclosed to and has obtained the written consent from Party A;</w:t>
      </w:r>
    </w:p>
    <w:p>
      <w:pPr>
        <w:spacing w:after="0" w:line="181" w:lineRule="exact"/>
        <w:rPr>
          <w:sz w:val="20"/>
          <w:szCs w:val="20"/>
          <w:color w:val="auto"/>
        </w:rPr>
      </w:pPr>
    </w:p>
    <w:p>
      <w:pPr>
        <w:ind w:left="984" w:right="120" w:firstLine="401"/>
        <w:spacing w:after="0" w:line="282" w:lineRule="auto"/>
        <w:rPr>
          <w:sz w:val="20"/>
          <w:szCs w:val="20"/>
          <w:color w:val="auto"/>
        </w:rPr>
      </w:pPr>
      <w:r>
        <w:rPr>
          <w:rFonts w:ascii="Times New Roman" w:cs="Times New Roman" w:eastAsia="Times New Roman" w:hAnsi="Times New Roman"/>
          <w:sz w:val="18"/>
          <w:szCs w:val="18"/>
          <w:color w:val="auto"/>
        </w:rPr>
        <w:t>(e)    to always carry out all activities in the ordinary course of business to maintain the value of Party C’s assets, and not to make any act and/or omission that may adversely affect Party C’s results and asset value;</w:t>
      </w:r>
    </w:p>
    <w:p>
      <w:pPr>
        <w:spacing w:after="0" w:line="162"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(f)      not to enter into any material contract without prior written consent from Party A, other than those executed in the ordinary</w:t>
      </w:r>
    </w:p>
    <w:p>
      <w:pPr>
        <w:spacing w:after="0" w:line="27" w:lineRule="exact"/>
        <w:rPr>
          <w:sz w:val="20"/>
          <w:szCs w:val="20"/>
          <w:color w:val="auto"/>
        </w:rPr>
      </w:pPr>
    </w:p>
    <w:p>
      <w:pPr>
        <w:ind w:left="984" w:right="500"/>
        <w:spacing w:after="0" w:line="260" w:lineRule="auto"/>
        <w:rPr>
          <w:sz w:val="20"/>
          <w:szCs w:val="20"/>
          <w:color w:val="auto"/>
        </w:rPr>
      </w:pPr>
      <w:r>
        <w:rPr>
          <w:rFonts w:ascii="Times New Roman" w:cs="Times New Roman" w:eastAsia="Times New Roman" w:hAnsi="Times New Roman"/>
          <w:sz w:val="18"/>
          <w:szCs w:val="18"/>
          <w:color w:val="auto"/>
        </w:rPr>
        <w:t>course of business (for purpose of this paragraph, any contract with a contact value exceeding RMB fifty thousand (50,000) shall be deemed as a material contract);</w:t>
      </w:r>
    </w:p>
    <w:p>
      <w:pPr>
        <w:sectPr>
          <w:pgSz w:w="11900" w:h="16838" w:orient="portrait"/>
          <w:cols w:equalWidth="0" w:num="1">
            <w:col w:w="11004"/>
          </w:cols>
          <w:pgMar w:left="436" w:top="266" w:right="459" w:bottom="1440" w:gutter="0" w:footer="0" w:header="0"/>
        </w:sectPr>
      </w:pPr>
    </w:p>
    <w:p>
      <w:pPr>
        <w:spacing w:after="0" w:line="181"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 xml:space="preserve">(g)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not to provide any loan or guarantee to any person without prior written consent from Party A;</w:t>
      </w:r>
    </w:p>
    <w:p>
      <w:pPr>
        <w:spacing w:after="0" w:line="211" w:lineRule="exact"/>
        <w:rPr>
          <w:sz w:val="20"/>
          <w:szCs w:val="20"/>
          <w:color w:val="auto"/>
        </w:rPr>
      </w:pPr>
    </w:p>
    <w:p>
      <w:pPr>
        <w:sectPr>
          <w:pgSz w:w="11900" w:h="16838" w:orient="portrait"/>
          <w:cols w:equalWidth="0" w:num="2">
            <w:col w:w="1644" w:space="140"/>
            <w:col w:w="9220"/>
          </w:cols>
          <w:pgMar w:left="436" w:top="266" w:right="459" w:bottom="1440" w:gutter="0" w:footer="0" w:header="0"/>
          <w:type w:val="continuous"/>
        </w:sectPr>
      </w:pPr>
    </w:p>
    <w:p>
      <w:pPr>
        <w:spacing w:after="0" w:line="25"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 xml:space="preserve">(h)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to provide Party A with information about Party C’s operations and financial conditions at the request from Party A;</w:t>
      </w:r>
    </w:p>
    <w:p>
      <w:pPr>
        <w:spacing w:after="0" w:line="211" w:lineRule="exact"/>
        <w:rPr>
          <w:sz w:val="20"/>
          <w:szCs w:val="20"/>
          <w:color w:val="auto"/>
        </w:rPr>
      </w:pPr>
    </w:p>
    <w:p>
      <w:pPr>
        <w:sectPr>
          <w:pgSz w:w="11900" w:h="16838" w:orient="portrait"/>
          <w:cols w:equalWidth="0" w:num="2">
            <w:col w:w="1644" w:space="140"/>
            <w:col w:w="9220"/>
          </w:cols>
          <w:pgMar w:left="436" w:top="266" w:right="459" w:bottom="1440" w:gutter="0" w:footer="0" w:header="0"/>
          <w:type w:val="continuous"/>
        </w:sectPr>
      </w:pPr>
    </w:p>
    <w:p>
      <w:pPr>
        <w:spacing w:after="0" w:line="25"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(i)      to purchase and always maintain requisite insurance policies from an insurer acceptable to Party A, the amount and type of</w:t>
      </w:r>
    </w:p>
    <w:p>
      <w:pPr>
        <w:sectPr>
          <w:pgSz w:w="11900" w:h="16838" w:orient="portrait"/>
          <w:cols w:equalWidth="0" w:num="1">
            <w:col w:w="11004"/>
          </w:cols>
          <w:pgMar w:left="436" w:top="266" w:right="459" w:bottom="1440" w:gutter="0" w:footer="0" w:header="0"/>
          <w:type w:val="continuous"/>
        </w:sectPr>
      </w:pPr>
    </w:p>
    <w:p>
      <w:pPr>
        <w:spacing w:after="0" w:line="27" w:lineRule="exact"/>
        <w:rPr>
          <w:sz w:val="20"/>
          <w:szCs w:val="20"/>
          <w:color w:val="auto"/>
        </w:rPr>
      </w:pPr>
    </w:p>
    <w:p>
      <w:pPr>
        <w:ind w:left="984" w:right="140"/>
        <w:spacing w:after="0" w:line="260" w:lineRule="auto"/>
        <w:rPr>
          <w:sz w:val="20"/>
          <w:szCs w:val="20"/>
          <w:color w:val="auto"/>
        </w:rPr>
      </w:pPr>
      <w:r>
        <w:rPr>
          <w:rFonts w:ascii="Times New Roman" w:cs="Times New Roman" w:eastAsia="Times New Roman" w:hAnsi="Times New Roman"/>
          <w:sz w:val="18"/>
          <w:szCs w:val="18"/>
          <w:color w:val="auto"/>
        </w:rPr>
        <w:t>which shall be the same as or equivalent to those maintained by the companies having similar operations, properties or assets in the same region as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6995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type w:val="continuous"/>
        </w:sectPr>
      </w:pPr>
    </w:p>
    <w:bookmarkStart w:id="220" w:name="page221"/>
    <w:bookmarkEnd w:id="220"/>
    <w:p>
      <w:pPr>
        <w:ind w:left="1380"/>
        <w:spacing w:after="0"/>
        <w:rPr>
          <w:sz w:val="20"/>
          <w:szCs w:val="20"/>
          <w:color w:val="auto"/>
        </w:rPr>
      </w:pPr>
      <w:r>
        <w:rPr>
          <w:rFonts w:ascii="Times New Roman" w:cs="Times New Roman" w:eastAsia="Times New Roman" w:hAnsi="Times New Roman"/>
          <w:sz w:val="18"/>
          <w:szCs w:val="18"/>
          <w:color w:val="auto"/>
        </w:rPr>
        <w:t xml:space="preserve">(j)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to combine, merge with, be acquired by, acquire or invest in any person without prior written consent from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-206375</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1600" w:space="140"/>
            <w:col w:w="40" w:space="140"/>
            <w:col w:w="9060"/>
          </w:cols>
          <w:pgMar w:left="440" w:top="270" w:right="479" w:bottom="1440" w:gutter="0" w:footer="0" w:header="0"/>
        </w:sectPr>
      </w:pPr>
    </w:p>
    <w:p>
      <w:pPr>
        <w:spacing w:after="0" w:line="25" w:lineRule="exact"/>
        <w:rPr>
          <w:sz w:val="20"/>
          <w:szCs w:val="20"/>
          <w:color w:val="auto"/>
        </w:rPr>
      </w:pPr>
    </w:p>
    <w:p>
      <w:pPr>
        <w:ind w:left="980" w:right="40" w:firstLine="401"/>
        <w:spacing w:after="0" w:line="282" w:lineRule="auto"/>
        <w:rPr>
          <w:sz w:val="20"/>
          <w:szCs w:val="20"/>
          <w:color w:val="auto"/>
        </w:rPr>
      </w:pPr>
      <w:r>
        <w:rPr>
          <w:rFonts w:ascii="Times New Roman" w:cs="Times New Roman" w:eastAsia="Times New Roman" w:hAnsi="Times New Roman"/>
          <w:sz w:val="18"/>
          <w:szCs w:val="18"/>
          <w:color w:val="auto"/>
        </w:rPr>
        <w:t>(k)    to immediately notify Party A of any actual or potential occurrence of any litigation, arbitration or administrative proceeding related to Party C’s assets, business and revenue;</w:t>
      </w:r>
    </w:p>
    <w:p>
      <w:pPr>
        <w:spacing w:after="0" w:line="162" w:lineRule="exact"/>
        <w:rPr>
          <w:sz w:val="20"/>
          <w:szCs w:val="20"/>
          <w:color w:val="auto"/>
        </w:rPr>
      </w:pPr>
    </w:p>
    <w:p>
      <w:pPr>
        <w:ind w:left="980" w:right="80" w:firstLine="401"/>
        <w:spacing w:after="0" w:line="282" w:lineRule="auto"/>
        <w:rPr>
          <w:sz w:val="20"/>
          <w:szCs w:val="20"/>
          <w:color w:val="auto"/>
        </w:rPr>
      </w:pPr>
      <w:r>
        <w:rPr>
          <w:rFonts w:ascii="Times New Roman" w:cs="Times New Roman" w:eastAsia="Times New Roman" w:hAnsi="Times New Roman"/>
          <w:sz w:val="18"/>
          <w:szCs w:val="18"/>
          <w:color w:val="auto"/>
        </w:rPr>
        <w:t>(l)    to execute all documents, conduct all actions, and make all claims or defenses necessary or appropriate to maintain Party C’s ownership of all its assets; and</w:t>
      </w:r>
    </w:p>
    <w:p>
      <w:pPr>
        <w:spacing w:after="0" w:line="16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      not to distribute any form of dividends to any shareholder of Party C without prior written consent from Party A, but to</w:t>
      </w:r>
    </w:p>
    <w:p>
      <w:pPr>
        <w:sectPr>
          <w:pgSz w:w="11900" w:h="16838" w:orient="portrait"/>
          <w:cols w:equalWidth="0" w:num="1">
            <w:col w:w="10980"/>
          </w:cols>
          <w:pgMar w:left="440" w:top="270" w:right="479" w:bottom="1440" w:gutter="0" w:footer="0" w:header="0"/>
          <w:type w:val="continuous"/>
        </w:sectPr>
      </w:pP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immediately distribute all distributable profits to the shareholders of Party C upon Party A’s request.</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Covenants relating to Party 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Party B hereby covenants:</w:t>
      </w:r>
    </w:p>
    <w:p>
      <w:pPr>
        <w:spacing w:after="0" w:line="225" w:lineRule="exact"/>
        <w:rPr>
          <w:sz w:val="20"/>
          <w:szCs w:val="20"/>
          <w:color w:val="auto"/>
        </w:rPr>
      </w:pPr>
    </w:p>
    <w:p>
      <w:pPr>
        <w:jc w:val="both"/>
        <w:ind w:left="980" w:right="160" w:firstLine="401"/>
        <w:spacing w:after="0" w:line="266" w:lineRule="auto"/>
        <w:rPr>
          <w:sz w:val="20"/>
          <w:szCs w:val="20"/>
          <w:color w:val="auto"/>
        </w:rPr>
      </w:pPr>
      <w:r>
        <w:rPr>
          <w:rFonts w:ascii="Times New Roman" w:cs="Times New Roman" w:eastAsia="Times New Roman" w:hAnsi="Times New Roman"/>
          <w:sz w:val="18"/>
          <w:szCs w:val="18"/>
          <w:color w:val="auto"/>
        </w:rPr>
        <w:t>(a)    at any time as of the date hereof, not to sell, transfer, pledge or otherwise dispose of any legal or beneficial interests in any equity interest, nor to allow creation of other Encumbrances thereupon without prior written consent from Party A, except for the pledge created on the equity interest held by Party B in Party C pursuant to the Equity Pledge Agreement;</w:t>
      </w:r>
    </w:p>
    <w:p>
      <w:pPr>
        <w:spacing w:after="0" w:line="176" w:lineRule="exact"/>
        <w:rPr>
          <w:sz w:val="20"/>
          <w:szCs w:val="20"/>
          <w:color w:val="auto"/>
        </w:rPr>
      </w:pPr>
    </w:p>
    <w:p>
      <w:pPr>
        <w:ind w:left="980" w:firstLine="401"/>
        <w:spacing w:after="0" w:line="261" w:lineRule="auto"/>
        <w:rPr>
          <w:sz w:val="20"/>
          <w:szCs w:val="20"/>
          <w:color w:val="auto"/>
        </w:rPr>
      </w:pPr>
      <w:r>
        <w:rPr>
          <w:rFonts w:ascii="Times New Roman" w:cs="Times New Roman" w:eastAsia="Times New Roman" w:hAnsi="Times New Roman"/>
          <w:sz w:val="18"/>
          <w:szCs w:val="18"/>
          <w:color w:val="auto"/>
        </w:rPr>
        <w:t>(b)    cause Party C’s shareholders’ meeting not to approve the sale, transfer, pledge or other disposal of any legal or beneficial interests in any equity interest, or allow creation of other Encumbrances thereupon without prior written consent from Party A, except to Party A and/or Party A’s Designated Person; cause Party C’s shareholders’ meeting to vote for the transfer of the Purchased Equity Interest contemplated herein.</w:t>
      </w:r>
    </w:p>
    <w:p>
      <w:pPr>
        <w:spacing w:after="0" w:line="180" w:lineRule="exact"/>
        <w:rPr>
          <w:sz w:val="20"/>
          <w:szCs w:val="20"/>
          <w:color w:val="auto"/>
        </w:rPr>
      </w:pPr>
    </w:p>
    <w:p>
      <w:pPr>
        <w:ind w:left="980" w:right="480" w:firstLine="401"/>
        <w:spacing w:after="0" w:line="282" w:lineRule="auto"/>
        <w:rPr>
          <w:sz w:val="20"/>
          <w:szCs w:val="20"/>
          <w:color w:val="auto"/>
        </w:rPr>
      </w:pPr>
      <w:r>
        <w:rPr>
          <w:rFonts w:ascii="Times New Roman" w:cs="Times New Roman" w:eastAsia="Times New Roman" w:hAnsi="Times New Roman"/>
          <w:sz w:val="18"/>
          <w:szCs w:val="18"/>
          <w:color w:val="auto"/>
        </w:rPr>
        <w:t>(c)    not to vote for, support or execute any shareholders’ resolution at Party C’s shareholders’ meeting to approve Party C’s merger or combination with, acquisition by, acquisition of or investment in any person without prior written consent from Party A;</w:t>
      </w:r>
    </w:p>
    <w:p>
      <w:pPr>
        <w:spacing w:after="0" w:line="162" w:lineRule="exact"/>
        <w:rPr>
          <w:sz w:val="20"/>
          <w:szCs w:val="20"/>
          <w:color w:val="auto"/>
        </w:rPr>
      </w:pPr>
    </w:p>
    <w:p>
      <w:pPr>
        <w:ind w:left="980" w:right="40" w:firstLine="401"/>
        <w:spacing w:after="0" w:line="282" w:lineRule="auto"/>
        <w:rPr>
          <w:sz w:val="20"/>
          <w:szCs w:val="20"/>
          <w:color w:val="auto"/>
        </w:rPr>
      </w:pPr>
      <w:r>
        <w:rPr>
          <w:rFonts w:ascii="Times New Roman" w:cs="Times New Roman" w:eastAsia="Times New Roman" w:hAnsi="Times New Roman"/>
          <w:sz w:val="18"/>
          <w:szCs w:val="18"/>
          <w:color w:val="auto"/>
        </w:rPr>
        <w:t>(d)    to immediately notify Party A of any actual or potential occurrence of any litigation, arbitration or administrative proceeding related to the equity interests held by Party B in Party C;</w:t>
      </w:r>
    </w:p>
    <w:p>
      <w:pPr>
        <w:spacing w:after="0" w:line="162" w:lineRule="exact"/>
        <w:rPr>
          <w:sz w:val="20"/>
          <w:szCs w:val="20"/>
          <w:color w:val="auto"/>
        </w:rPr>
      </w:pPr>
    </w:p>
    <w:p>
      <w:pPr>
        <w:ind w:left="980" w:right="220" w:firstLine="401"/>
        <w:spacing w:after="0" w:line="282" w:lineRule="auto"/>
        <w:rPr>
          <w:sz w:val="20"/>
          <w:szCs w:val="20"/>
          <w:color w:val="auto"/>
        </w:rPr>
      </w:pPr>
      <w:r>
        <w:rPr>
          <w:rFonts w:ascii="Times New Roman" w:cs="Times New Roman" w:eastAsia="Times New Roman" w:hAnsi="Times New Roman"/>
          <w:sz w:val="18"/>
          <w:szCs w:val="18"/>
          <w:color w:val="auto"/>
        </w:rPr>
        <w:t>(e)    to execute all documents, conduct all actions, and make all claims or defenses necessary and appropriate to maintain Party B’s ownership of the equity interest in Party C;</w:t>
      </w:r>
    </w:p>
    <w:p>
      <w:pPr>
        <w:spacing w:after="0" w:line="162" w:lineRule="exact"/>
        <w:rPr>
          <w:sz w:val="20"/>
          <w:szCs w:val="20"/>
          <w:color w:val="auto"/>
        </w:rPr>
      </w:pPr>
    </w:p>
    <w:p>
      <w:pPr>
        <w:ind w:left="980" w:right="160" w:firstLine="401"/>
        <w:spacing w:after="0" w:line="282" w:lineRule="auto"/>
        <w:rPr>
          <w:sz w:val="20"/>
          <w:szCs w:val="20"/>
          <w:color w:val="auto"/>
        </w:rPr>
      </w:pPr>
      <w:r>
        <w:rPr>
          <w:rFonts w:ascii="Times New Roman" w:cs="Times New Roman" w:eastAsia="Times New Roman" w:hAnsi="Times New Roman"/>
          <w:sz w:val="18"/>
          <w:szCs w:val="18"/>
          <w:color w:val="auto"/>
        </w:rPr>
        <w:t>(f)    not to make any act and/or omission that may adversely affect Party C’s assets, business and liabilities without prior written consent from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type w:val="continuous"/>
        </w:sectPr>
      </w:pPr>
    </w:p>
    <w:bookmarkStart w:id="221" w:name="page222"/>
    <w:bookmarkEnd w:id="221"/>
    <w:p>
      <w:pPr>
        <w:ind w:left="984" w:right="340" w:firstLine="40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to accept and appoint the persons designated by Party A as Party C’s directors, general manager and other senior management upon Party A’s request, and actively assist Party A in dealing with all matters in connection with the appointment of such persons, including but not limited to execution of necessary documents, and assist the registration of the appointment of such senior management at the Administration for Industry and Commerce;</w:t>
      </w:r>
    </w:p>
    <w:p>
      <w:pPr>
        <w:spacing w:after="0" w:line="180" w:lineRule="exact"/>
        <w:rPr>
          <w:sz w:val="20"/>
          <w:szCs w:val="20"/>
          <w:color w:val="auto"/>
        </w:rPr>
      </w:pPr>
    </w:p>
    <w:p>
      <w:pPr>
        <w:ind w:left="984" w:right="20" w:firstLine="401"/>
        <w:spacing w:after="0" w:line="258" w:lineRule="auto"/>
        <w:rPr>
          <w:sz w:val="20"/>
          <w:szCs w:val="20"/>
          <w:color w:val="auto"/>
        </w:rPr>
      </w:pPr>
      <w:r>
        <w:rPr>
          <w:rFonts w:ascii="Times New Roman" w:cs="Times New Roman" w:eastAsia="Times New Roman" w:hAnsi="Times New Roman"/>
          <w:sz w:val="18"/>
          <w:szCs w:val="18"/>
          <w:color w:val="auto"/>
        </w:rPr>
        <w:t>(h)    to the extent permitted by PRC laws and upon Party A’s request at any time, to unconditionally and immediately transfer all or part of the equity interest held by Party B in Party C to Party A and/or Party A’s Designated Person at any time, and to waive its first right of refusal on the equity interest transferred by Party C’s other shareholders to Party A and/or Party A’s Designated Person; to actively assist all the matters in connection with the equity transfer, including but not limited to execution of necessary documents, and assist the registration of the equity transfer at the Administration for Industry and Commerce;</w:t>
      </w:r>
    </w:p>
    <w:p>
      <w:pPr>
        <w:spacing w:after="0" w:line="183" w:lineRule="exact"/>
        <w:rPr>
          <w:sz w:val="20"/>
          <w:szCs w:val="20"/>
          <w:color w:val="auto"/>
        </w:rPr>
      </w:pPr>
    </w:p>
    <w:p>
      <w:pPr>
        <w:ind w:left="984" w:right="80" w:firstLine="401"/>
        <w:spacing w:after="0" w:line="266" w:lineRule="auto"/>
        <w:rPr>
          <w:sz w:val="20"/>
          <w:szCs w:val="20"/>
          <w:color w:val="auto"/>
        </w:rPr>
      </w:pPr>
      <w:r>
        <w:rPr>
          <w:rFonts w:ascii="Times New Roman" w:cs="Times New Roman" w:eastAsia="Times New Roman" w:hAnsi="Times New Roman"/>
          <w:sz w:val="18"/>
          <w:szCs w:val="18"/>
          <w:color w:val="auto"/>
        </w:rPr>
        <w:t>(i)    to strictly comply with the provisions of this Agreement and other agreements jointly or severally executed by Party C and Party A, and to duly perform all obligations under such agreements, without making any act or omission that suffices to affect the validity and enforceability of these agreements; and</w:t>
      </w:r>
    </w:p>
    <w:p>
      <w:pPr>
        <w:spacing w:after="0" w:line="176" w:lineRule="exact"/>
        <w:rPr>
          <w:sz w:val="20"/>
          <w:szCs w:val="20"/>
          <w:color w:val="auto"/>
        </w:rPr>
      </w:pPr>
    </w:p>
    <w:p>
      <w:pPr>
        <w:ind w:left="984" w:right="360" w:firstLine="401"/>
        <w:spacing w:after="0" w:line="282" w:lineRule="auto"/>
        <w:rPr>
          <w:sz w:val="20"/>
          <w:szCs w:val="20"/>
          <w:color w:val="auto"/>
        </w:rPr>
      </w:pPr>
      <w:r>
        <w:rPr>
          <w:rFonts w:ascii="Times New Roman" w:cs="Times New Roman" w:eastAsia="Times New Roman" w:hAnsi="Times New Roman"/>
          <w:sz w:val="18"/>
          <w:szCs w:val="18"/>
          <w:color w:val="auto"/>
        </w:rPr>
        <w:t>(j)    to agree and undertake to execute an irrevocable power of attorney authorizing Party A or Party A’s Designated Person to exercise on its behalf all of its rights as shareholder of Party C.</w:t>
      </w:r>
    </w:p>
    <w:p>
      <w:pPr>
        <w:spacing w:after="0" w:line="185" w:lineRule="exact"/>
        <w:rPr>
          <w:sz w:val="20"/>
          <w:szCs w:val="20"/>
          <w:color w:val="auto"/>
        </w:rPr>
      </w:pPr>
    </w:p>
    <w:p>
      <w:pPr>
        <w:ind w:left="424" w:hanging="424"/>
        <w:spacing w:after="0"/>
        <w:tabs>
          <w:tab w:leader="none" w:pos="424"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B hereby represents and warrants to Party A as of the date of this Agreement and each date of transfer that:</w:t>
      </w:r>
    </w:p>
    <w:p>
      <w:pPr>
        <w:spacing w:after="0" w:line="225" w:lineRule="exact"/>
        <w:rPr>
          <w:sz w:val="20"/>
          <w:szCs w:val="20"/>
          <w:color w:val="auto"/>
        </w:rPr>
      </w:pPr>
    </w:p>
    <w:p>
      <w:pPr>
        <w:ind w:left="984" w:firstLine="401"/>
        <w:spacing w:after="0" w:line="261" w:lineRule="auto"/>
        <w:rPr>
          <w:sz w:val="20"/>
          <w:szCs w:val="20"/>
          <w:color w:val="auto"/>
        </w:rPr>
      </w:pPr>
      <w:r>
        <w:rPr>
          <w:rFonts w:ascii="Times New Roman" w:cs="Times New Roman" w:eastAsia="Times New Roman" w:hAnsi="Times New Roman"/>
          <w:sz w:val="18"/>
          <w:szCs w:val="18"/>
          <w:color w:val="auto"/>
        </w:rPr>
        <w:t>(a)    it has requisite capacity and authority to execute this Agreement and any equity transfer agreement to which it is a party and which is entered into for each transfer of Purchased Equity Interest hereunder (each a “</w:t>
      </w:r>
      <w:r>
        <w:rPr>
          <w:rFonts w:ascii="Times New Roman" w:cs="Times New Roman" w:eastAsia="Times New Roman" w:hAnsi="Times New Roman"/>
          <w:sz w:val="18"/>
          <w:szCs w:val="18"/>
          <w:b w:val="1"/>
          <w:bCs w:val="1"/>
          <w:color w:val="auto"/>
        </w:rPr>
        <w:t>Transfer Agreement</w:t>
      </w:r>
      <w:r>
        <w:rPr>
          <w:rFonts w:ascii="Times New Roman" w:cs="Times New Roman" w:eastAsia="Times New Roman" w:hAnsi="Times New Roman"/>
          <w:sz w:val="18"/>
          <w:szCs w:val="18"/>
          <w:color w:val="auto"/>
        </w:rPr>
        <w:t>”), and to perform its obligations hereunder and thereunder; this Agreement and each Transfer Agreement to which it is a party, once executed, will constitute its legal, valid and binding obligation, which is enforceable against it according the specific terms hereof and thereof;</w:t>
      </w:r>
    </w:p>
    <w:p>
      <w:pPr>
        <w:spacing w:after="0" w:line="180" w:lineRule="exact"/>
        <w:rPr>
          <w:sz w:val="20"/>
          <w:szCs w:val="20"/>
          <w:color w:val="auto"/>
        </w:rPr>
      </w:pPr>
    </w:p>
    <w:p>
      <w:pPr>
        <w:ind w:left="984" w:right="20" w:firstLine="401"/>
        <w:spacing w:after="0" w:line="258" w:lineRule="auto"/>
        <w:rPr>
          <w:sz w:val="20"/>
          <w:szCs w:val="20"/>
          <w:color w:val="auto"/>
        </w:rPr>
      </w:pPr>
      <w:r>
        <w:rPr>
          <w:rFonts w:ascii="Times New Roman" w:cs="Times New Roman" w:eastAsia="Times New Roman" w:hAnsi="Times New Roman"/>
          <w:sz w:val="18"/>
          <w:szCs w:val="18"/>
          <w:color w:val="auto"/>
        </w:rPr>
        <w:t>(b)    Neither the execution of this Agreement or any Transfer Agreement nor the performance of its obligations hereunder and thereunder by Party B will (i) violate any relevant PRC laws, (ii) conflict with the articles of association or other organizational documents of Party C; (iii) cause any violation of, or constitute any breach under, any contracts or instruments to which it is a party or by which it is bound; (iv) lead to any violation of any restrictions in connection with the grant and/or continued effectiveness of any licenses or permits issued to it; or (v) lead to the suspension or revocation of, or imposition of additional conditions to, any licenses or permits issued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222" w:name="page223"/>
    <w:bookmarkEnd w:id="222"/>
    <w:tbl>
      <w:tblPr>
        <w:tblLayout w:type="fixed"/>
        <w:tblInd w:w="984" w:type="dxa"/>
        <w:tblCellMar>
          <w:top w:w="0" w:type="dxa"/>
          <w:left w:w="0" w:type="dxa"/>
          <w:bottom w:w="0" w:type="dxa"/>
          <w:right w:w="0" w:type="dxa"/>
        </w:tblCellMar>
      </w:tblPr>
      <w:tr>
        <w:trPr>
          <w:trHeight w:val="216"/>
        </w:trPr>
        <w:tc>
          <w:tcPr>
            <w:tcW w:w="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(c)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Party C has good and merchantable title to all of its assets, on which Party C has, or will place, no Encumbrances of any form</w:t>
            </w:r>
          </w:p>
        </w:tc>
      </w:tr>
      <w:tr>
        <w:trPr>
          <w:trHeight w:val="234"/>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whatsoever, including security interest, unless Party A’s written consent has been obtained;</w:t>
            </w:r>
          </w:p>
        </w:tc>
      </w:tr>
      <w:tr>
        <w:trPr>
          <w:trHeight w:val="414"/>
        </w:trPr>
        <w:tc>
          <w:tcPr>
            <w:tcW w:w="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(d)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Party C has no outstanding debts, except for those (i) incurred in the ordinary course of business; and (ii) already disclosed to</w:t>
            </w:r>
          </w:p>
        </w:tc>
      </w:tr>
      <w:tr>
        <w:trPr>
          <w:trHeight w:val="234"/>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Party A for which Party A’s written consent has been obtained;</w:t>
            </w:r>
          </w:p>
        </w:tc>
      </w:tr>
      <w:tr>
        <w:trPr>
          <w:trHeight w:val="414"/>
        </w:trPr>
        <w:tc>
          <w:tcPr>
            <w:tcW w:w="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there are no ongoing, pending or threatened litigations, arbitrations or administrative proceedings in connection with the</w:t>
            </w:r>
          </w:p>
        </w:tc>
      </w:tr>
      <w:tr>
        <w:trPr>
          <w:trHeight w:val="234"/>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Target Equity, Party C’s assets and Party C; and</w:t>
            </w:r>
          </w:p>
        </w:tc>
      </w:tr>
      <w:tr>
        <w:trPr>
          <w:trHeight w:val="432"/>
        </w:trPr>
        <w:tc>
          <w:tcPr>
            <w:tcW w:w="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(f)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9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Party B has good and merchantable title to the equity interest held by it in Party C, on which Party B has, or will place, no</w:t>
            </w:r>
          </w:p>
        </w:tc>
      </w:tr>
    </w:tbl>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Encumbrances of any form whatsoever, except for the pledge created under the Equity Pledge Agreement.</w:t>
      </w:r>
    </w:p>
    <w:p>
      <w:pPr>
        <w:spacing w:after="0" w:line="230" w:lineRule="exact"/>
        <w:rPr>
          <w:sz w:val="20"/>
          <w:szCs w:val="20"/>
          <w:color w:val="auto"/>
        </w:rPr>
      </w:pPr>
    </w:p>
    <w:p>
      <w:pPr>
        <w:ind w:left="424" w:hanging="424"/>
        <w:spacing w:after="0"/>
        <w:tabs>
          <w:tab w:leader="none" w:pos="424"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 of Contract</w:t>
      </w:r>
    </w:p>
    <w:p>
      <w:pPr>
        <w:spacing w:after="0" w:line="225" w:lineRule="exact"/>
        <w:rPr>
          <w:rFonts w:ascii="Times New Roman" w:cs="Times New Roman" w:eastAsia="Times New Roman" w:hAnsi="Times New Roman"/>
          <w:sz w:val="18"/>
          <w:szCs w:val="18"/>
          <w:b w:val="1"/>
          <w:bCs w:val="1"/>
          <w:color w:val="auto"/>
        </w:rPr>
      </w:pPr>
    </w:p>
    <w:p>
      <w:pPr>
        <w:ind w:left="444" w:right="10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Party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breaches any provision of this Agreement, which causes damage to any of the other Parties (“</w:t>
      </w:r>
      <w:r>
        <w:rPr>
          <w:rFonts w:ascii="Times New Roman" w:cs="Times New Roman" w:eastAsia="Times New Roman" w:hAnsi="Times New Roman"/>
          <w:sz w:val="18"/>
          <w:szCs w:val="18"/>
          <w:b w:val="1"/>
          <w:bCs w:val="1"/>
          <w:color w:val="auto"/>
        </w:rPr>
        <w:t>Non-defaulting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the Non-defaulting Party may notify the Defaulting Party in writing and request it to immediately rectify and correct such breach;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Defaulting Party fails to take any action satisfactory to the Non-defaulting Party to rectify and correct its breach within fifteen (15) days upon the issuance of such written notice by the Non-defaulting Party, the Non-defaulting Party may immediately take the actions provided in this Agreement or take other remedies according to the laws.</w:t>
      </w:r>
    </w:p>
    <w:p>
      <w:pPr>
        <w:spacing w:after="0" w:line="2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and Term</w:t>
      </w:r>
    </w:p>
    <w:p>
      <w:pPr>
        <w:spacing w:after="0" w:line="256"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5.1</w:t>
        <w:tab/>
        <w:t>This Agreement shall come into effectiveness as of the date of its execution. The Parties hereby agree and confirm that the effect of the terms and conditions of this Agreement shall retrospect to the day when Party B becomes a shareholder of Party C.</w:t>
      </w:r>
    </w:p>
    <w:p>
      <w:pPr>
        <w:spacing w:after="0" w:line="18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5.2</w:t>
        <w:tab/>
        <w:t>The term of this Agreement is ten (10) years unless this Agreement is terminated pursuant to relevant provisions herein.</w:t>
      </w:r>
    </w:p>
    <w:p>
      <w:pPr>
        <w:spacing w:after="0" w:line="252"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5.3</w:t>
        <w:tab/>
        <w:t>This Agreement may be automatically extended for another ten (10) years upon its expiry, and may be extended for unlimited number of times thereafter, unless Party A notifies Party B and Party C in writing of its disagreement with the extension. Neither Party B nor Party C may veto the extension of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223" w:name="page224"/>
    <w:bookmarkEnd w:id="223"/>
    <w:p>
      <w:pPr>
        <w:ind w:left="424" w:hanging="424"/>
        <w:spacing w:after="0"/>
        <w:tabs>
          <w:tab w:leader="none" w:pos="424"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p>
    <w:p>
      <w:pPr>
        <w:spacing w:after="0" w:line="25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This Agreement shall remain valid unless Party A disagrees with the extension of the term hereof pursuant to Article 5.3 hereinabove.</w:t>
      </w:r>
    </w:p>
    <w:p>
      <w:pPr>
        <w:spacing w:after="0" w:line="252" w:lineRule="exact"/>
        <w:rPr>
          <w:sz w:val="20"/>
          <w:szCs w:val="20"/>
          <w:color w:val="auto"/>
        </w:rPr>
      </w:pPr>
    </w:p>
    <w:p>
      <w:pPr>
        <w:ind w:left="424" w:right="1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6.2</w:t>
        <w:tab/>
        <w:t>At any time during the term of this Agreement and any extended term hereof, Party A may, at its own judgment and discretion, unconditionally terminate this Agreement by issuing a written notice to Party B without assuming any liability. Neither Party B nor Party C is entitled to the right of unilateral termination of this Agreement.</w:t>
      </w:r>
    </w:p>
    <w:p>
      <w:pPr>
        <w:spacing w:after="0" w:line="199" w:lineRule="exact"/>
        <w:rPr>
          <w:sz w:val="20"/>
          <w:szCs w:val="20"/>
          <w:color w:val="auto"/>
        </w:rPr>
      </w:pPr>
    </w:p>
    <w:p>
      <w:pPr>
        <w:ind w:left="424" w:hanging="424"/>
        <w:spacing w:after="0"/>
        <w:tabs>
          <w:tab w:leader="none" w:pos="424"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256"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7.1</w:t>
        <w:tab/>
        <w:t>The formation, validity, interpretation, performance and termination of this Agreement and the amendment hereto as well as the resolution of any disputes arising hereunder shall be governed by the PRC laws.</w:t>
      </w:r>
    </w:p>
    <w:p>
      <w:pPr>
        <w:spacing w:after="0" w:line="189" w:lineRule="exact"/>
        <w:rPr>
          <w:sz w:val="20"/>
          <w:szCs w:val="20"/>
          <w:color w:val="auto"/>
        </w:rPr>
      </w:pPr>
    </w:p>
    <w:p>
      <w:pPr>
        <w:ind w:left="424" w:right="4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7.2</w:t>
        <w:tab/>
        <w:t>Any disputes arising from the interpretation and performance of this Agreement shall first be resolved through friendly consultation among the Parties. In case no settlement can be reached through consultation within thirty (30) days after the request for consultation is made by any Party with a written notice, any Party can submit such disputes to Shanghai International Economic and Trade Arbitration Commission for arbitration in accordance with its then effective rules. The arbitration shall take place in Shanghai. The arbitration proceedings shall be conducted in Chinese. The arbitration award shall be final and binding upon all the Parties.</w:t>
      </w:r>
    </w:p>
    <w:p>
      <w:pPr>
        <w:spacing w:after="0" w:line="210" w:lineRule="exact"/>
        <w:rPr>
          <w:sz w:val="20"/>
          <w:szCs w:val="20"/>
          <w:color w:val="auto"/>
        </w:rPr>
      </w:pPr>
    </w:p>
    <w:p>
      <w:pPr>
        <w:ind w:left="424" w:right="3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7.3</w:t>
        <w:tab/>
        <w:t>If any dispute arises from the interpretation and performance of this Agreement or any dispute is under arbitration, the Parties shall continue to perform their respective rights and obligations hereunder other than those in dispute.</w:t>
      </w:r>
    </w:p>
    <w:p>
      <w:pPr>
        <w:spacing w:after="0" w:line="185" w:lineRule="exact"/>
        <w:rPr>
          <w:sz w:val="20"/>
          <w:szCs w:val="20"/>
          <w:color w:val="auto"/>
        </w:rPr>
      </w:pPr>
    </w:p>
    <w:p>
      <w:pPr>
        <w:ind w:left="424" w:hanging="424"/>
        <w:spacing w:after="0"/>
        <w:tabs>
          <w:tab w:leader="none" w:pos="424"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Expenses</w:t>
      </w:r>
    </w:p>
    <w:p>
      <w:pPr>
        <w:spacing w:after="0" w:line="22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Party B shall bear any and all taxes, costs and expenses incurred by or imposed on the Parties under the PRC laws arising from the preparation and execution of this Agreement and each Transfer Agreement and the consummation of the transaction contemplated hereunder and thereunder, unless Party A agrees to bear all or part of such taxes, costs and expenses.</w:t>
      </w:r>
    </w:p>
    <w:p>
      <w:pPr>
        <w:spacing w:after="0" w:line="199" w:lineRule="exact"/>
        <w:rPr>
          <w:sz w:val="20"/>
          <w:szCs w:val="20"/>
          <w:color w:val="auto"/>
        </w:rPr>
      </w:pPr>
    </w:p>
    <w:p>
      <w:pPr>
        <w:ind w:left="424" w:hanging="424"/>
        <w:spacing w:after="0"/>
        <w:tabs>
          <w:tab w:leader="none" w:pos="42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Notices or other communications required to be given by any Party pursuant to this Agreement shall be written in Chinese or English and delivered personally or sent by registered mail, postage prepaid mail, express delivery or facsimile transmission to the addresses of the other Parties set forth below, or to other designated addresses notified by such other Parties to such Party from time to time, or the addresses of other persons designated by such Party. A notice is deemed to be duly served: (a) if delivered personally, upon the delivery; (b) if sent by mail, on the tenth (10th) day after the date when the air registered mail with postage prepaid has been sent out (as is shown on the postmark), or the fourth (4th) day after delivered to the courier service agency; and (c) if sent by facsimile transmission, upon the receipt time as is shown on the transmission confirmation of relevant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224" w:name="page225"/>
    <w:bookmarkEnd w:id="224"/>
    <w:tbl>
      <w:tblPr>
        <w:tblLayout w:type="fixed"/>
        <w:tblInd w:w="984" w:type="dxa"/>
        <w:tblCellMar>
          <w:top w:w="0" w:type="dxa"/>
          <w:left w:w="0" w:type="dxa"/>
          <w:bottom w:w="0" w:type="dxa"/>
          <w:right w:w="0" w:type="dxa"/>
        </w:tblCellMar>
      </w:tblPr>
      <w:tr>
        <w:trPr>
          <w:trHeight w:val="207"/>
        </w:trPr>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3"/>
              </w:rPr>
              <w:t xml:space="preserve">If to </w:t>
            </w:r>
            <w:r>
              <w:rPr>
                <w:rFonts w:ascii="Times New Roman" w:cs="Times New Roman" w:eastAsia="Times New Roman" w:hAnsi="Times New Roman"/>
                <w:sz w:val="18"/>
                <w:szCs w:val="18"/>
                <w:b w:val="1"/>
                <w:bCs w:val="1"/>
                <w:color w:val="auto"/>
                <w:w w:val="93"/>
              </w:rPr>
              <w:t>Party A:</w:t>
            </w:r>
            <w:r>
              <w:rPr>
                <w:rFonts w:ascii="Times New Roman" w:cs="Times New Roman" w:eastAsia="Times New Roman" w:hAnsi="Times New Roman"/>
                <w:sz w:val="18"/>
                <w:szCs w:val="18"/>
                <w:color w:val="auto"/>
                <w:w w:val="93"/>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620" w:type="dxa"/>
            <w:vAlign w:val="bottom"/>
            <w:gridSpan w:val="2"/>
          </w:tcPr>
          <w:p>
            <w:pPr>
              <w:spacing w:after="0" w:line="20" w:lineRule="exact"/>
              <w:rPr>
                <w:sz w:val="1"/>
                <w:szCs w:val="1"/>
                <w:color w:val="auto"/>
              </w:rPr>
            </w:pPr>
          </w:p>
        </w:tc>
        <w:tc>
          <w:tcPr>
            <w:tcW w:w="460" w:type="dxa"/>
            <w:vAlign w:val="bottom"/>
            <w:tcBorders>
              <w:right w:val="single" w:sz="8" w:color="auto"/>
            </w:tcBorders>
            <w:gridSpan w:val="3"/>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196"/>
        </w:trPr>
        <w:tc>
          <w:tcPr>
            <w:tcW w:w="14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 xml:space="preserve">Attn: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 xml:space="preserve">Address: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86"/>
              </w:rPr>
              <w:t>Phone: ( </w:t>
            </w:r>
          </w:p>
        </w:tc>
        <w:tc>
          <w:tcPr>
            <w:tcW w:w="28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73"/>
              </w:rPr>
              <w:t>Fax:  </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74"/>
              </w:rPr>
              <w:t>( </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4"/>
              </w:rPr>
              <w:t xml:space="preserve">If to </w:t>
            </w:r>
            <w:r>
              <w:rPr>
                <w:rFonts w:ascii="Times New Roman" w:cs="Times New Roman" w:eastAsia="Times New Roman" w:hAnsi="Times New Roman"/>
                <w:sz w:val="18"/>
                <w:szCs w:val="18"/>
                <w:b w:val="1"/>
                <w:bCs w:val="1"/>
                <w:color w:val="auto"/>
                <w:w w:val="94"/>
              </w:rPr>
              <w:t>Party B:</w:t>
            </w:r>
            <w:r>
              <w:rPr>
                <w:rFonts w:ascii="Times New Roman" w:cs="Times New Roman" w:eastAsia="Times New Roman" w:hAnsi="Times New Roman"/>
                <w:sz w:val="18"/>
                <w:szCs w:val="18"/>
                <w:color w:val="auto"/>
                <w:w w:val="9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1080" w:type="dxa"/>
            <w:vAlign w:val="bottom"/>
            <w:tcBorders>
              <w:right w:val="single" w:sz="8" w:color="auto"/>
            </w:tcBorders>
            <w:gridSpan w:val="5"/>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196"/>
        </w:trPr>
        <w:tc>
          <w:tcPr>
            <w:tcW w:w="1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 xml:space="preserve">Address: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86"/>
              </w:rPr>
              <w:t>Phone: ( </w:t>
            </w:r>
          </w:p>
        </w:tc>
        <w:tc>
          <w:tcPr>
            <w:tcW w:w="28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73"/>
              </w:rPr>
              <w:t>Fax:  </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74"/>
              </w:rPr>
              <w:t>( </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3"/>
              </w:rPr>
              <w:t xml:space="preserve">If to </w:t>
            </w:r>
            <w:r>
              <w:rPr>
                <w:rFonts w:ascii="Times New Roman" w:cs="Times New Roman" w:eastAsia="Times New Roman" w:hAnsi="Times New Roman"/>
                <w:sz w:val="18"/>
                <w:szCs w:val="18"/>
                <w:b w:val="1"/>
                <w:bCs w:val="1"/>
                <w:color w:val="auto"/>
                <w:w w:val="93"/>
              </w:rPr>
              <w:t>Party C:</w:t>
            </w:r>
            <w:r>
              <w:rPr>
                <w:rFonts w:ascii="Times New Roman" w:cs="Times New Roman" w:eastAsia="Times New Roman" w:hAnsi="Times New Roman"/>
                <w:sz w:val="18"/>
                <w:szCs w:val="18"/>
                <w:color w:val="auto"/>
                <w:w w:val="93"/>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1080" w:type="dxa"/>
            <w:vAlign w:val="bottom"/>
            <w:tcBorders>
              <w:right w:val="single" w:sz="8" w:color="auto"/>
            </w:tcBorders>
            <w:gridSpan w:val="5"/>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196"/>
        </w:trPr>
        <w:tc>
          <w:tcPr>
            <w:tcW w:w="1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 xml:space="preserve">Address: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86"/>
              </w:rPr>
              <w:t>Phone: ( </w:t>
            </w:r>
          </w:p>
        </w:tc>
        <w:tc>
          <w:tcPr>
            <w:tcW w:w="28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73"/>
              </w:rPr>
              <w:t>Fax:  </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74"/>
              </w:rPr>
              <w:t>( </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All Parties acknowledge and confirm that any oral or written materials exchanged by and between the Parties in connection with this Agreement are confidential. All Parties shall keep secret of all such documents and not disclose any such documents to any third party without prior written consent from other Parties, except for such information: (a) as are known or will be known by the public (except by disclosure of the receiving party without authorization); (b) as are required to be disclosed in accordance with applicable laws or stock exchange rules or regulations; or (c) as are required to be disclosed by any Party to its legal counsel or financial consultant for the purpose of the transaction of this Agreement, provided that such legal counsel or financial consultant shall also be subject to the confidentiality obligation similar to that stated hereof. Any disclosure by employees or agencies employed by any Party shall be deemed the disclosure of such Party and such Party shall assume the liabilities for its breach of contract pursuant to this Agreement. This Article shall survive even if this Agreement is judged as void, cancelled, terminated or impractical for any reason whatsoever.</w:t>
      </w:r>
    </w:p>
    <w:p>
      <w:pPr>
        <w:spacing w:after="0" w:line="195" w:lineRule="exact"/>
        <w:rPr>
          <w:sz w:val="20"/>
          <w:szCs w:val="20"/>
          <w:color w:val="auto"/>
        </w:rPr>
      </w:pPr>
    </w:p>
    <w:p>
      <w:pPr>
        <w:ind w:left="424" w:hanging="424"/>
        <w:spacing w:after="0"/>
        <w:tabs>
          <w:tab w:leader="none" w:pos="42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Warranties</w:t>
      </w:r>
    </w:p>
    <w:p>
      <w:pPr>
        <w:spacing w:after="0" w:line="229"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The Parties agree to promptly execute such documents or take such further actions as are reasonably necessary or beneficial for performing the provisions or achieving the purposes hereof.</w:t>
      </w:r>
    </w:p>
    <w:p>
      <w:pPr>
        <w:spacing w:after="0" w:line="185" w:lineRule="exact"/>
        <w:rPr>
          <w:sz w:val="20"/>
          <w:szCs w:val="20"/>
          <w:color w:val="auto"/>
        </w:rPr>
      </w:pPr>
    </w:p>
    <w:p>
      <w:pPr>
        <w:ind w:left="424" w:hanging="424"/>
        <w:spacing w:after="0"/>
        <w:tabs>
          <w:tab w:leader="none" w:pos="424"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Amendments, Modifications and Supplements</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Any matters excluded in this Agreement shall be negotiated by the Parties. Any amendment and supplement to this Agreement and its exhibits shall be made by the Parties in writing. The amendment and supplement duly executed by each Party with respect to this Agreement and its exhibits are part of this Agreement and shall have the same legal effect as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257"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12.2  </w:t>
      </w:r>
      <w:r>
        <w:rPr>
          <w:rFonts w:ascii="Times New Roman" w:cs="Times New Roman" w:eastAsia="Times New Roman" w:hAnsi="Times New Roman"/>
          <w:sz w:val="18"/>
          <w:szCs w:val="18"/>
          <w:u w:val="single" w:color="auto"/>
          <w:color w:val="auto"/>
        </w:rPr>
        <w:t>Compliance with Laws and Regulations</w:t>
      </w:r>
    </w:p>
    <w:p>
      <w:pPr>
        <w:spacing w:after="0" w:line="225"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Each of the Parties shall comply with, and shall ensure that its operations fully comply with all existing and publicly available laws and regulations of the PRC.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Entire Agreement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Parties confirm that this Agreement shall, upon its effectiveness, constitute the entire agreement and common understanding of the Parties with respect to the contents herein and fully supersede all prior verbal and/or written agreements and understandings between the Parties with respect to the contents herein. The exhibits attached hereto shall constitute a component of this Agreement and shall be equally binding as this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Headings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headings contained in this Agreement are for the convenience of reference only and shall not be used to interpret, explain or otherwise affect the meaning of the provisions of this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Severability</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any one or more provisions of this Agreement is identified or judged by a court of competent jurisdiction or arbitration authority as void, invalid or unenforceable in any respect according to any laws or regulations, the validity, legality and enforceability of the other provisions hereof shall not be affected or impaired in any way. The Parties shall cease performing such void, invalid or unenforceable provisions and revise those void, invalid or unenforceable provisions only to the extent closest to the original intention thereof to recover its validity or enforceability for such specific facts and circumstances.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Assignment</w:t>
      </w:r>
    </w:p>
    <w:p>
      <w:pPr>
        <w:spacing w:after="0" w:line="252" w:lineRule="exact"/>
        <w:rPr>
          <w:sz w:val="20"/>
          <w:szCs w:val="20"/>
          <w:color w:val="auto"/>
        </w:rPr>
      </w:pPr>
    </w:p>
    <w:p>
      <w:pPr>
        <w:ind w:left="960" w:right="40" w:hanging="532"/>
        <w:spacing w:after="0" w:line="258" w:lineRule="auto"/>
        <w:tabs>
          <w:tab w:leader="none" w:pos="9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B or Party C may assign any of their respective rights or obligations under this Agreement to any third party without prior written consent from Party A. Party B and Party C hereby agree that Party A may assign its rights and obligations under this Agreement as Party A may decide at its sole discretion, and such assignment shall only be subject to a written notice sent to Party B and Party C, without subject to their consent. When and as requested by Party A, Party B and Party C shall execute with the assignee a supplementary agreement or an agreement substantially the same as this Agreement.</w:t>
      </w:r>
    </w:p>
    <w:p>
      <w:pPr>
        <w:spacing w:after="0" w:line="210" w:lineRule="exact"/>
        <w:rPr>
          <w:rFonts w:ascii="Times New Roman" w:cs="Times New Roman" w:eastAsia="Times New Roman" w:hAnsi="Times New Roman"/>
          <w:sz w:val="18"/>
          <w:szCs w:val="18"/>
          <w:color w:val="auto"/>
        </w:rPr>
      </w:pPr>
    </w:p>
    <w:p>
      <w:pPr>
        <w:ind w:left="960" w:right="20" w:hanging="532"/>
        <w:spacing w:after="0" w:line="255" w:lineRule="auto"/>
        <w:tabs>
          <w:tab w:leader="none" w:pos="9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hereby agrees and confirms that (i) if Party B has died or lost or been limited from his/her full capacity for civil conducts, his/her rights and obligations hereunder will be immediately transferred to and succeeded by Party A’s Designated Person, or to Party A for its disposal at its sole discretion, including but not limited to the cases under which Party A or Party A’s Designated Person will be transferred and thus acquire the equity interest held by Party B in Party C; and (ii) Party A can transfer its rights and obligations hereunder to its designated person as needed at any time by only providing a written notice to Party B’s successor or guardian and no consent from Party B’s successor or guardian is required. Upon the request of Party A, Party B’s successor shall execute with Party A a supplement or an agreement substantially the same as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12.7  </w:t>
      </w:r>
      <w:r>
        <w:rPr>
          <w:rFonts w:ascii="Times New Roman" w:cs="Times New Roman" w:eastAsia="Times New Roman" w:hAnsi="Times New Roman"/>
          <w:sz w:val="18"/>
          <w:szCs w:val="18"/>
          <w:u w:val="single" w:color="auto"/>
          <w:color w:val="auto"/>
        </w:rPr>
        <w:t>Successors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effective and binding upon all the Parties hereto and their respective inheritors, successors and assigns.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Survival</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Any obligations that are incurred or become due arising from this Agreement by the expiry or early termination of this Agreement shall survive the expiry or termination of this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Waiver</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Any Party’s failure to exercise the rights under this Agreement in time shall not be deemed as its waiver of such rights and would not affect its future exercise of such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Counterparts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is executed with three (3) originals, with one Party holding one (1) original; each counterpart shall be equally binding.</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by the Parties or their respective authorized representatives on the date first above written.</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0"/>
          </w:cols>
          <w:pgMar w:left="440" w:top="270" w:right="69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page is execution page]</w:t>
            </w:r>
          </w:p>
        </w:tc>
      </w:tr>
      <w:tr>
        <w:trPr>
          <w:trHeight w:val="392"/>
        </w:trPr>
        <w:tc>
          <w:tcPr>
            <w:tcW w:w="2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Party A: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0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80" w:type="dxa"/>
            <w:vAlign w:val="bottom"/>
            <w:tcBorders>
              <w:left w:val="single" w:sz="8" w:color="auto"/>
            </w:tcBorders>
          </w:tcPr>
          <w:p>
            <w:pPr>
              <w:spacing w:after="0" w:line="20" w:lineRule="exact"/>
              <w:rPr>
                <w:sz w:val="1"/>
                <w:szCs w:val="1"/>
                <w:color w:val="auto"/>
              </w:rPr>
            </w:pPr>
          </w:p>
        </w:tc>
      </w:tr>
      <w:tr>
        <w:trPr>
          <w:trHeight w:val="844"/>
        </w:trPr>
        <w:tc>
          <w:tcPr>
            <w:tcW w:w="2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Signature: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196"/>
        </w:trPr>
        <w:tc>
          <w:tcPr>
            <w:tcW w:w="2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7"/>
              </w:rPr>
              <w:t>Authorized representative: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63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237"/>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(stamp)</w:t>
            </w: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80" w:type="dxa"/>
            <w:vAlign w:val="bottom"/>
          </w:tcPr>
          <w:p>
            <w:pPr>
              <w:spacing w:after="0"/>
              <w:rPr>
                <w:sz w:val="20"/>
                <w:szCs w:val="20"/>
                <w:color w:val="auto"/>
              </w:rPr>
            </w:pPr>
          </w:p>
        </w:tc>
      </w:tr>
      <w:tr>
        <w:trPr>
          <w:trHeight w:val="823"/>
        </w:trPr>
        <w:tc>
          <w:tcPr>
            <w:tcW w:w="2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Party B: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0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80" w:type="dxa"/>
            <w:vAlign w:val="bottom"/>
            <w:tcBorders>
              <w:left w:val="single" w:sz="8" w:color="auto"/>
            </w:tcBorders>
          </w:tcPr>
          <w:p>
            <w:pPr>
              <w:spacing w:after="0" w:line="20" w:lineRule="exact"/>
              <w:rPr>
                <w:sz w:val="1"/>
                <w:szCs w:val="1"/>
                <w:color w:val="auto"/>
              </w:rPr>
            </w:pPr>
          </w:p>
        </w:tc>
      </w:tr>
      <w:tr>
        <w:trPr>
          <w:trHeight w:val="844"/>
        </w:trPr>
        <w:tc>
          <w:tcPr>
            <w:tcW w:w="2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Signature: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20"/>
        </w:trPr>
        <w:tc>
          <w:tcPr>
            <w:tcW w:w="780" w:type="dxa"/>
            <w:vAlign w:val="bottom"/>
            <w:gridSpan w:val="2"/>
          </w:tcPr>
          <w:p>
            <w:pPr>
              <w:spacing w:after="0" w:line="20" w:lineRule="exact"/>
              <w:rPr>
                <w:sz w:val="1"/>
                <w:szCs w:val="1"/>
                <w:color w:val="auto"/>
              </w:rPr>
            </w:pPr>
          </w:p>
        </w:tc>
        <w:tc>
          <w:tcPr>
            <w:tcW w:w="168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844"/>
        </w:trPr>
        <w:tc>
          <w:tcPr>
            <w:tcW w:w="2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Party C: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0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168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80" w:type="dxa"/>
            <w:vAlign w:val="bottom"/>
            <w:tcBorders>
              <w:left w:val="single" w:sz="8" w:color="auto"/>
            </w:tcBorders>
          </w:tcPr>
          <w:p>
            <w:pPr>
              <w:spacing w:after="0" w:line="20" w:lineRule="exact"/>
              <w:rPr>
                <w:sz w:val="1"/>
                <w:szCs w:val="1"/>
                <w:color w:val="auto"/>
              </w:rPr>
            </w:pPr>
          </w:p>
        </w:tc>
      </w:tr>
      <w:tr>
        <w:trPr>
          <w:trHeight w:val="844"/>
        </w:trPr>
        <w:tc>
          <w:tcPr>
            <w:tcW w:w="2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Signature: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20"/>
        </w:trPr>
        <w:tc>
          <w:tcPr>
            <w:tcW w:w="780" w:type="dxa"/>
            <w:vAlign w:val="bottom"/>
            <w:gridSpan w:val="2"/>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196"/>
        </w:trPr>
        <w:tc>
          <w:tcPr>
            <w:tcW w:w="2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7"/>
              </w:rPr>
              <w:t>Authorized representative: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63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237"/>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(stamp)</w:t>
            </w: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80" w:type="dxa"/>
            <w:vAlign w:val="bottom"/>
          </w:tcPr>
          <w:p>
            <w:pPr>
              <w:spacing w:after="0"/>
              <w:rPr>
                <w:sz w:val="20"/>
                <w:szCs w:val="20"/>
                <w:color w:val="auto"/>
              </w:rPr>
            </w:pPr>
          </w:p>
        </w:tc>
      </w:tr>
      <w:tr>
        <w:trPr>
          <w:trHeight w:val="270"/>
        </w:trPr>
        <w:tc>
          <w:tcPr>
            <w:tcW w:w="7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80" w:type="dxa"/>
            <w:vAlign w:val="bottom"/>
            <w:tcBorders>
              <w:bottom w:val="single" w:sz="8" w:color="auto"/>
            </w:tcBorders>
          </w:tcPr>
          <w:p>
            <w:pPr>
              <w:spacing w:after="0"/>
              <w:rPr>
                <w:sz w:val="23"/>
                <w:szCs w:val="23"/>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8" w:name="page229"/>
    <w:bookmarkEnd w:id="2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Transfer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Equity Transfer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in             , the People’s Republic of China (“PRC”) 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-5080</wp:posOffset>
            </wp:positionV>
            <wp:extent cx="4572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Transferor: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-7620</wp:posOffset>
            </wp:positionV>
            <wp:extent cx="159956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Transferee: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-7620</wp:posOffset>
            </wp:positionV>
            <wp:extent cx="159956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 Parties agree as follows concerning the equity interest transfer:</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1.</w:t>
            </w:r>
          </w:p>
        </w:tc>
        <w:tc>
          <w:tcPr>
            <w:tcW w:w="100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The Transferor agrees to transfer to the Transferee       % of equity interest of                                           held by the Transferor,</w:t>
            </w:r>
          </w:p>
        </w:tc>
      </w:tr>
      <w:tr>
        <w:trPr>
          <w:trHeight w:val="20"/>
        </w:trPr>
        <w:tc>
          <w:tcPr>
            <w:tcW w:w="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00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and the Transferee agrees to accept the said equity interest.</w:t>
            </w:r>
          </w:p>
        </w:tc>
      </w:tr>
    </w:tbl>
    <w:p>
      <w:pPr>
        <w:spacing w:after="0" w:line="225" w:lineRule="exact"/>
        <w:rPr>
          <w:sz w:val="20"/>
          <w:szCs w:val="20"/>
          <w:color w:val="auto"/>
        </w:rPr>
      </w:pPr>
    </w:p>
    <w:p>
      <w:pPr>
        <w:ind w:left="960" w:hanging="532"/>
        <w:spacing w:after="0"/>
        <w:tabs>
          <w:tab w:leader="none" w:pos="9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of equity interest transfer, the Transferor shall not have any rights and obligations as a shareholder with regard to the</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transferred shares, and the Transferee shall have such rights and obligations as shareholder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-19050</wp:posOffset>
            </wp:positionV>
            <wp:extent cx="15995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14" w:lineRule="exact"/>
        <w:rPr>
          <w:sz w:val="20"/>
          <w:szCs w:val="20"/>
          <w:color w:val="auto"/>
        </w:rPr>
      </w:pPr>
    </w:p>
    <w:p>
      <w:pPr>
        <w:ind w:left="960" w:hanging="532"/>
        <w:spacing w:after="0"/>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not covered by this Agreement may be determined by the Parties by way of signing supplementary agreements.</w:t>
      </w:r>
    </w:p>
    <w:p>
      <w:pPr>
        <w:spacing w:after="0" w:line="25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effective from the date of execution by the Parties.</w:t>
      </w:r>
    </w:p>
    <w:p>
      <w:pPr>
        <w:spacing w:after="0" w:line="252" w:lineRule="exact"/>
        <w:rPr>
          <w:rFonts w:ascii="Times New Roman" w:cs="Times New Roman" w:eastAsia="Times New Roman" w:hAnsi="Times New Roman"/>
          <w:sz w:val="18"/>
          <w:szCs w:val="18"/>
          <w:color w:val="auto"/>
        </w:rPr>
      </w:pPr>
    </w:p>
    <w:p>
      <w:pPr>
        <w:ind w:left="960" w:right="580" w:hanging="532"/>
        <w:spacing w:after="0" w:line="282" w:lineRule="auto"/>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executed in four (4) originals, with each party holding one (1) original. The remaining originals are made for the purpose of going through change registration at the Administration for Industry and Commerce.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Transferor</w:t>
            </w:r>
          </w:p>
        </w:tc>
        <w:tc>
          <w:tcPr>
            <w:tcW w:w="7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Transferee</w:t>
            </w:r>
          </w:p>
        </w:tc>
      </w:tr>
      <w:tr>
        <w:trPr>
          <w:trHeight w:val="688"/>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Signature:                                          </w:t>
            </w:r>
          </w:p>
        </w:tc>
        <w:tc>
          <w:tcPr>
            <w:tcW w:w="768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 xml:space="preserve">Authorized Signature:                                         </w:t>
            </w:r>
          </w:p>
        </w:tc>
      </w:tr>
      <w:tr>
        <w:trPr>
          <w:trHeight w:val="48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20" w:type="dxa"/>
            <w:vAlign w:val="bottom"/>
            <w:tcBorders>
              <w:top w:val="single" w:sz="8" w:color="auto"/>
            </w:tcBorders>
          </w:tcPr>
          <w:p>
            <w:pPr>
              <w:spacing w:after="0"/>
              <w:rPr>
                <w:sz w:val="24"/>
                <w:szCs w:val="24"/>
                <w:color w:val="auto"/>
              </w:rPr>
            </w:pPr>
          </w:p>
        </w:tc>
        <w:tc>
          <w:tcPr>
            <w:tcW w:w="42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8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schedule sets forth other major similar agreements the registrant entered into with each of its consolidated affiliated Chinese entities. Other than the information set forth below, there is no material difference between such other agreements and this exhibit.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120" w:type="dxa"/>
            <w:vAlign w:val="bottom"/>
          </w:tcPr>
          <w:p>
            <w:pPr>
              <w:spacing w:after="0"/>
              <w:rPr>
                <w:sz w:val="16"/>
                <w:szCs w:val="16"/>
                <w:color w:val="auto"/>
              </w:rPr>
            </w:pPr>
          </w:p>
        </w:tc>
        <w:tc>
          <w:tcPr>
            <w:tcW w:w="538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16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Execution Date</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Party A: Ctrip Travel Network Technology (Shanghai) Co., Ltd.</w:t>
            </w:r>
          </w:p>
        </w:tc>
        <w:tc>
          <w:tcPr>
            <w:tcW w:w="1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14, 2015</w:t>
            </w:r>
          </w:p>
        </w:tc>
        <w:tc>
          <w:tcPr>
            <w:tcW w:w="0" w:type="dxa"/>
            <w:vAlign w:val="bottom"/>
          </w:tcPr>
          <w:p>
            <w:pPr>
              <w:spacing w:after="0"/>
              <w:rPr>
                <w:sz w:val="1"/>
                <w:szCs w:val="1"/>
                <w:color w:val="auto"/>
              </w:rPr>
            </w:pPr>
          </w:p>
        </w:tc>
      </w:tr>
      <w:tr>
        <w:trPr>
          <w:trHeight w:val="94"/>
        </w:trPr>
        <w:tc>
          <w:tcPr>
            <w:tcW w:w="3860" w:type="dxa"/>
            <w:vAlign w:val="bottom"/>
            <w:shd w:val="clear" w:color="auto" w:fill="CCEEFF"/>
          </w:tcPr>
          <w:p>
            <w:pPr>
              <w:spacing w:after="0"/>
              <w:rPr>
                <w:sz w:val="8"/>
                <w:szCs w:val="8"/>
                <w:color w:val="auto"/>
              </w:rPr>
            </w:pPr>
          </w:p>
        </w:tc>
        <w:tc>
          <w:tcPr>
            <w:tcW w:w="55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Party B: Maohua Sun</w:t>
            </w:r>
          </w:p>
        </w:tc>
        <w:tc>
          <w:tcPr>
            <w:tcW w:w="1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60" w:type="dxa"/>
            <w:vAlign w:val="bottom"/>
            <w:shd w:val="clear" w:color="auto" w:fill="CCEEFF"/>
          </w:tcPr>
          <w:p>
            <w:pPr>
              <w:spacing w:after="0"/>
              <w:rPr>
                <w:sz w:val="10"/>
                <w:szCs w:val="10"/>
                <w:color w:val="auto"/>
              </w:rPr>
            </w:pPr>
          </w:p>
        </w:tc>
        <w:tc>
          <w:tcPr>
            <w:tcW w:w="5500" w:type="dxa"/>
            <w:vAlign w:val="bottom"/>
            <w:gridSpan w:val="3"/>
            <w:vMerge w:val="continue"/>
            <w:shd w:val="clear" w:color="auto" w:fill="CCEEFF"/>
          </w:tcPr>
          <w:p>
            <w:pPr>
              <w:spacing w:after="0"/>
              <w:rPr>
                <w:sz w:val="10"/>
                <w:szCs w:val="10"/>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(as amended on</w:t>
            </w:r>
          </w:p>
        </w:tc>
        <w:tc>
          <w:tcPr>
            <w:tcW w:w="0" w:type="dxa"/>
            <w:vAlign w:val="bottom"/>
          </w:tcPr>
          <w:p>
            <w:pPr>
              <w:spacing w:after="0"/>
              <w:rPr>
                <w:sz w:val="1"/>
                <w:szCs w:val="1"/>
                <w:color w:val="auto"/>
              </w:rPr>
            </w:pPr>
          </w:p>
        </w:tc>
      </w:tr>
      <w:tr>
        <w:trPr>
          <w:trHeight w:val="94"/>
        </w:trPr>
        <w:tc>
          <w:tcPr>
            <w:tcW w:w="3860" w:type="dxa"/>
            <w:vAlign w:val="bottom"/>
            <w:shd w:val="clear" w:color="auto" w:fill="CCEEFF"/>
          </w:tcPr>
          <w:p>
            <w:pPr>
              <w:spacing w:after="0"/>
              <w:rPr>
                <w:sz w:val="8"/>
                <w:szCs w:val="8"/>
                <w:color w:val="auto"/>
              </w:rPr>
            </w:pPr>
          </w:p>
        </w:tc>
        <w:tc>
          <w:tcPr>
            <w:tcW w:w="55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Party C: Shanghai Ctrip Commerce Co., Ltd.</w:t>
            </w:r>
          </w:p>
        </w:tc>
        <w:tc>
          <w:tcPr>
            <w:tcW w:w="1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Ctrip Commerce Co., Ltd.</w:t>
            </w:r>
          </w:p>
        </w:tc>
        <w:tc>
          <w:tcPr>
            <w:tcW w:w="5500" w:type="dxa"/>
            <w:vAlign w:val="bottom"/>
            <w:gridSpan w:val="3"/>
            <w:vMerge w:val="continue"/>
            <w:shd w:val="clear" w:color="auto" w:fill="CCEEFF"/>
          </w:tcPr>
          <w:p>
            <w:pPr>
              <w:spacing w:after="0"/>
              <w:rPr>
                <w:sz w:val="10"/>
                <w:szCs w:val="10"/>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9, 2019)</w:t>
            </w:r>
          </w:p>
        </w:tc>
        <w:tc>
          <w:tcPr>
            <w:tcW w:w="0" w:type="dxa"/>
            <w:vAlign w:val="bottom"/>
          </w:tcPr>
          <w:p>
            <w:pPr>
              <w:spacing w:after="0"/>
              <w:rPr>
                <w:sz w:val="1"/>
                <w:szCs w:val="1"/>
                <w:color w:val="auto"/>
              </w:rPr>
            </w:pPr>
          </w:p>
        </w:tc>
      </w:tr>
      <w:tr>
        <w:trPr>
          <w:trHeight w:val="126"/>
        </w:trPr>
        <w:tc>
          <w:tcPr>
            <w:tcW w:w="3860" w:type="dxa"/>
            <w:vAlign w:val="bottom"/>
            <w:vMerge w:val="continue"/>
            <w:shd w:val="clear" w:color="auto" w:fill="CCEEFF"/>
          </w:tcPr>
          <w:p>
            <w:pPr>
              <w:spacing w:after="0"/>
              <w:rPr>
                <w:sz w:val="10"/>
                <w:szCs w:val="10"/>
                <w:color w:val="auto"/>
              </w:rPr>
            </w:pPr>
          </w:p>
        </w:tc>
        <w:tc>
          <w:tcPr>
            <w:tcW w:w="55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Party A: Ctrip Travel Network Technology (Shanghai) Co., Ltd.</w:t>
            </w:r>
          </w:p>
        </w:tc>
        <w:tc>
          <w:tcPr>
            <w:tcW w:w="1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860" w:type="dxa"/>
            <w:vAlign w:val="bottom"/>
            <w:shd w:val="clear" w:color="auto" w:fill="CCEEFF"/>
          </w:tcPr>
          <w:p>
            <w:pPr>
              <w:spacing w:after="0"/>
              <w:rPr>
                <w:sz w:val="7"/>
                <w:szCs w:val="7"/>
                <w:color w:val="auto"/>
              </w:rPr>
            </w:pPr>
          </w:p>
        </w:tc>
        <w:tc>
          <w:tcPr>
            <w:tcW w:w="5500" w:type="dxa"/>
            <w:vAlign w:val="bottom"/>
            <w:gridSpan w:val="3"/>
            <w:vMerge w:val="continue"/>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5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Party B: Bo Sun</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8, 2021</w:t>
            </w:r>
          </w:p>
        </w:tc>
        <w:tc>
          <w:tcPr>
            <w:tcW w:w="0" w:type="dxa"/>
            <w:vAlign w:val="bottom"/>
          </w:tcPr>
          <w:p>
            <w:pPr>
              <w:spacing w:after="0"/>
              <w:rPr>
                <w:sz w:val="1"/>
                <w:szCs w:val="1"/>
                <w:color w:val="auto"/>
              </w:rPr>
            </w:pPr>
          </w:p>
        </w:tc>
      </w:tr>
      <w:tr>
        <w:trPr>
          <w:trHeight w:val="140"/>
        </w:trPr>
        <w:tc>
          <w:tcPr>
            <w:tcW w:w="3860" w:type="dxa"/>
            <w:vAlign w:val="bottom"/>
            <w:shd w:val="clear" w:color="auto" w:fill="CCEEFF"/>
          </w:tcPr>
          <w:p>
            <w:pPr>
              <w:spacing w:after="0"/>
              <w:rPr>
                <w:sz w:val="12"/>
                <w:szCs w:val="12"/>
                <w:color w:val="auto"/>
              </w:rPr>
            </w:pPr>
          </w:p>
        </w:tc>
        <w:tc>
          <w:tcPr>
            <w:tcW w:w="55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Party C: Shanghai Ctrip Commerce Co., Ltd.</w:t>
            </w:r>
          </w:p>
        </w:tc>
        <w:tc>
          <w:tcPr>
            <w:tcW w:w="1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860" w:type="dxa"/>
            <w:vAlign w:val="bottom"/>
            <w:shd w:val="clear" w:color="auto" w:fill="CCEEFF"/>
          </w:tcPr>
          <w:p>
            <w:pPr>
              <w:spacing w:after="0"/>
              <w:rPr>
                <w:sz w:val="9"/>
                <w:szCs w:val="9"/>
                <w:color w:val="auto"/>
              </w:rPr>
            </w:pPr>
          </w:p>
        </w:tc>
        <w:tc>
          <w:tcPr>
            <w:tcW w:w="5500" w:type="dxa"/>
            <w:vAlign w:val="bottom"/>
            <w:gridSpan w:val="3"/>
            <w:vMerge w:val="continue"/>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8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EQUITY PLEDGE AGREEMENT</w:t>
      </w:r>
    </w:p>
    <w:p>
      <w:pPr>
        <w:spacing w:after="0" w:line="225" w:lineRule="exact"/>
        <w:rPr>
          <w:sz w:val="20"/>
          <w:szCs w:val="20"/>
          <w:color w:val="auto"/>
        </w:rPr>
      </w:pPr>
    </w:p>
    <w:p>
      <w:pPr>
        <w:ind w:left="4" w:right="1700" w:firstLine="440"/>
        <w:spacing w:after="0" w:line="286" w:lineRule="auto"/>
        <w:rPr>
          <w:sz w:val="20"/>
          <w:szCs w:val="20"/>
          <w:color w:val="auto"/>
        </w:rPr>
      </w:pPr>
      <w:r>
        <w:rPr>
          <w:rFonts w:ascii="Times New Roman" w:cs="Times New Roman" w:eastAsia="Times New Roman" w:hAnsi="Times New Roman"/>
          <w:sz w:val="18"/>
          <w:szCs w:val="18"/>
          <w:color w:val="auto"/>
        </w:rPr>
        <w:t>This Equity Pledge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in Shanghai,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as of             by and between the following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-49530</wp:posOffset>
            </wp:positionV>
            <wp:extent cx="6858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40" w:lineRule="exact"/>
        <w:rPr>
          <w:sz w:val="20"/>
          <w:szCs w:val="20"/>
          <w:color w:val="auto"/>
        </w:rPr>
      </w:pPr>
    </w:p>
    <w:p>
      <w:pPr>
        <w:ind w:left="424" w:hanging="424"/>
        <w:spacing w:after="0"/>
        <w:tabs>
          <w:tab w:leader="none" w:pos="42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-5080</wp:posOffset>
            </wp:positionV>
            <wp:extent cx="10287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0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Address: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-7620</wp:posOffset>
            </wp:positionV>
            <wp:extent cx="10287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07" w:lineRule="exact"/>
        <w:rPr>
          <w:sz w:val="20"/>
          <w:szCs w:val="20"/>
          <w:color w:val="auto"/>
        </w:rPr>
      </w:pPr>
    </w:p>
    <w:p>
      <w:pPr>
        <w:ind w:left="424" w:hanging="424"/>
        <w:spacing w:after="0"/>
        <w:tabs>
          <w:tab w:leader="none" w:pos="4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Pledgor</w:t>
      </w:r>
      <w:r>
        <w:rPr>
          <w:rFonts w:ascii="Times New Roman" w:cs="Times New Roman" w:eastAsia="Times New Roman" w:hAnsi="Times New Roman"/>
          <w:sz w:val="18"/>
          <w:szCs w:val="18"/>
          <w:color w:val="auto"/>
        </w:rPr>
        <w:t xml:space="preserve">:                          </w:t>
      </w:r>
    </w:p>
    <w:p>
      <w:pPr>
        <w:spacing w:after="0" w:line="3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PRC Identification Card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-156210</wp:posOffset>
            </wp:positionV>
            <wp:extent cx="10287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-19050</wp:posOffset>
            </wp:positionV>
            <wp:extent cx="10287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-19050</wp:posOffset>
            </wp:positionV>
            <wp:extent cx="10287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this Agreement, Pledgee and Pledgor are hereinafter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31" w:lineRule="exact"/>
        <w:rPr>
          <w:sz w:val="20"/>
          <w:szCs w:val="20"/>
          <w:color w:val="auto"/>
        </w:rPr>
      </w:pPr>
    </w:p>
    <w:p>
      <w:pPr>
        <w:ind w:left="424" w:right="620" w:hanging="419"/>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(1)</w:t>
        <w:tab/>
        <w:t>The Pledgor is a PRC citizen, who owns       % of the equity interests in                   (“</w:t>
      </w:r>
      <w:r>
        <w:rPr>
          <w:rFonts w:ascii="Times New Roman" w:cs="Times New Roman" w:eastAsia="Times New Roman" w:hAnsi="Times New Roman"/>
          <w:sz w:val="18"/>
          <w:szCs w:val="18"/>
          <w:b w:val="1"/>
          <w:bCs w:val="1"/>
          <w:color w:val="auto"/>
        </w:rPr>
        <w:t>Ctrip Commerce</w:t>
      </w:r>
      <w:r>
        <w:rPr>
          <w:rFonts w:ascii="Times New Roman" w:cs="Times New Roman" w:eastAsia="Times New Roman" w:hAnsi="Times New Roman"/>
          <w:sz w:val="18"/>
          <w:szCs w:val="18"/>
          <w:color w:val="auto"/>
        </w:rPr>
        <w:t>”) for an amount of contribution of RMB 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-186690</wp:posOffset>
            </wp:positionV>
            <wp:extent cx="3429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-186690</wp:posOffset>
            </wp:positionV>
            <wp:extent cx="1028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-49530</wp:posOffset>
            </wp:positionV>
            <wp:extent cx="10287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4" w:lineRule="exact"/>
        <w:rPr>
          <w:sz w:val="20"/>
          <w:szCs w:val="20"/>
          <w:color w:val="auto"/>
        </w:rPr>
      </w:pPr>
    </w:p>
    <w:p>
      <w:pPr>
        <w:ind w:left="424" w:hanging="424"/>
        <w:spacing w:after="0"/>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Ctrip Commerce is a limited liability company duly incorporated and validly existing under the PRC laws.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is a wholly foreign owned enterprise duly incorporated and validly existing under the PRC laws.</w:t>
      </w:r>
    </w:p>
    <w:p>
      <w:pPr>
        <w:spacing w:after="0" w:line="11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(4)</w:t>
            </w:r>
          </w:p>
        </w:tc>
        <w:tc>
          <w:tcPr>
            <w:tcW w:w="75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The Pledgee and Ctrip Commerce entered a Technical Consulting and Services Agreement as of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Services</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tc>
        <w:tc>
          <w:tcPr>
            <w:tcW w:w="500" w:type="dxa"/>
            <w:vAlign w:val="bottom"/>
            <w:tcBorders>
              <w:top w:val="single" w:sz="8" w:color="auto"/>
            </w:tcBorders>
            <w:gridSpan w:val="2"/>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(5)</w:t>
            </w:r>
          </w:p>
        </w:tc>
        <w:tc>
          <w:tcPr>
            <w:tcW w:w="84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The Pledgee and the Pledgor entered into a Loan Agreement as of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Exclusive Call</w:t>
            </w:r>
          </w:p>
        </w:tc>
        <w:tc>
          <w:tcPr>
            <w:tcW w:w="0" w:type="dxa"/>
            <w:vAlign w:val="bottom"/>
          </w:tcPr>
          <w:p>
            <w:pPr>
              <w:spacing w:after="0" w:line="20" w:lineRule="exact"/>
              <w:rPr>
                <w:sz w:val="1"/>
                <w:szCs w:val="1"/>
                <w:color w:val="auto"/>
              </w:rPr>
            </w:pPr>
          </w:p>
        </w:tc>
      </w:tr>
      <w:tr>
        <w:trPr>
          <w:trHeight w:val="318"/>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(6)</w:t>
            </w:r>
          </w:p>
        </w:tc>
        <w:tc>
          <w:tcPr>
            <w:tcW w:w="75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8"/>
              </w:rPr>
              <w:t>The Pledgee, the Pledgor and Ctrip Commerce entered into an Exclusive Call Option Agreement as of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868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together with the Services Agreement and the Loan Agreement, the “</w:t>
            </w:r>
            <w:r>
              <w:rPr>
                <w:rFonts w:ascii="Times New Roman" w:cs="Times New Roman" w:eastAsia="Times New Roman" w:hAnsi="Times New Roman"/>
                <w:sz w:val="18"/>
                <w:szCs w:val="18"/>
                <w:b w:val="1"/>
                <w:bCs w:val="1"/>
                <w:color w:val="auto"/>
              </w:rPr>
              <w:t>Principal Agreements</w:t>
            </w: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 w:type="dxa"/>
            <w:vAlign w:val="bottom"/>
            <w:tcBorders>
              <w:bottom w:val="single" w:sz="8" w:color="auto"/>
            </w:tcBorders>
          </w:tcPr>
          <w:p>
            <w:pPr>
              <w:spacing w:after="0"/>
              <w:rPr>
                <w:sz w:val="21"/>
                <w:szCs w:val="21"/>
                <w:color w:val="auto"/>
              </w:rPr>
            </w:pPr>
          </w:p>
        </w:tc>
        <w:tc>
          <w:tcPr>
            <w:tcW w:w="49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117" w:right="439" w:bottom="1440" w:gutter="0" w:footer="0" w:header="0"/>
        </w:sectPr>
      </w:pPr>
    </w:p>
    <w:bookmarkStart w:id="231" w:name="page232"/>
    <w:bookmarkEnd w:id="231"/>
    <w:p>
      <w:pPr>
        <w:ind w:left="424" w:right="200" w:hanging="424"/>
        <w:spacing w:after="0" w:line="276" w:lineRule="auto"/>
        <w:tabs>
          <w:tab w:leader="none" w:pos="424"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secure the performance of the obligations (including without limitation, the normal payment of consulting and service fees and the Pledgor’s repayment obligation) under the Principal Agreements by the Pledgor and Ctrip Commerce, the Pledgor is willing to unconditionally</w:t>
      </w:r>
    </w:p>
    <w:p>
      <w:pPr>
        <w:spacing w:after="0" w:line="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and irrevocably pledge all its          % equity interest held in Ctrip Commerce to the Pledgee as a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-19050</wp:posOffset>
            </wp:positionV>
            <wp:extent cx="3429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3"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order to perform the terms and provisions of the Principal Agreements, the Pledgor and the Pledgee hereby agree as follows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mutual consultation:</w:t>
      </w:r>
    </w:p>
    <w:p>
      <w:pPr>
        <w:spacing w:after="0" w:line="60" w:lineRule="exact"/>
        <w:rPr>
          <w:sz w:val="20"/>
          <w:szCs w:val="20"/>
          <w:color w:val="auto"/>
        </w:rPr>
      </w:pPr>
    </w:p>
    <w:p>
      <w:pPr>
        <w:ind w:left="424" w:hanging="424"/>
        <w:spacing w:after="0"/>
        <w:tabs>
          <w:tab w:leader="none" w:pos="424"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w:t>
      </w:r>
    </w:p>
    <w:p>
      <w:pPr>
        <w:spacing w:after="0" w:line="135" w:lineRule="exact"/>
        <w:rPr>
          <w:sz w:val="20"/>
          <w:szCs w:val="20"/>
          <w:color w:val="auto"/>
        </w:rPr>
      </w:pPr>
    </w:p>
    <w:p>
      <w:pPr>
        <w:ind w:left="424" w:right="1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1.1</w:t>
        <w:tab/>
        <w:t>The Pledgor agrees to pledge all its       % equity interest in Ctrip Commerce to the Pledgee as a security on the performance of all the obligations under the Principal Agreements by the Pledgor and Ctrip Commerce as well as on the entire compensation liability arising from the invalidity, cancellation or early termination of the Principal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-313055</wp:posOffset>
            </wp:positionV>
            <wp:extent cx="3429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61" w:lineRule="exact"/>
        <w:rPr>
          <w:sz w:val="20"/>
          <w:szCs w:val="20"/>
          <w:color w:val="auto"/>
        </w:rPr>
      </w:pPr>
    </w:p>
    <w:p>
      <w:pPr>
        <w:ind w:left="424" w:right="3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1.2</w:t>
        <w:tab/>
        <w:t>Pledge Right hereunder refers to the rights owned by the Pledgee, who shall be entitled to a priority to be compensated by the proceeds from conversion into money, auction or sale of the equity interest pledged by the Pledgor to the Pledgee.</w:t>
      </w:r>
    </w:p>
    <w:p>
      <w:pPr>
        <w:spacing w:after="0" w:line="63" w:lineRule="exact"/>
        <w:rPr>
          <w:sz w:val="20"/>
          <w:szCs w:val="20"/>
          <w:color w:val="auto"/>
        </w:rPr>
      </w:pPr>
    </w:p>
    <w:p>
      <w:pPr>
        <w:ind w:left="424" w:right="80" w:hanging="431"/>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1.3</w:t>
        <w:tab/>
        <w:t>The equity interest pledged hereunder is the       % equity interest held by the Pledgor in Ctrip Commerce (the “</w:t>
      </w:r>
      <w:r>
        <w:rPr>
          <w:rFonts w:ascii="Times New Roman" w:cs="Times New Roman" w:eastAsia="Times New Roman" w:hAnsi="Times New Roman"/>
          <w:sz w:val="18"/>
          <w:szCs w:val="18"/>
          <w:b w:val="1"/>
          <w:bCs w:val="1"/>
          <w:color w:val="auto"/>
        </w:rPr>
        <w:t>Pledged Equity</w:t>
      </w:r>
      <w:r>
        <w:rPr>
          <w:rFonts w:ascii="Times New Roman" w:cs="Times New Roman" w:eastAsia="Times New Roman" w:hAnsi="Times New Roman"/>
          <w:sz w:val="18"/>
          <w:szCs w:val="18"/>
          <w:color w:val="auto"/>
        </w:rPr>
        <w:t>”) and all the rights and interests associated therewith. The details of the Pledged Equity are listed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-186690</wp:posOffset>
            </wp:positionV>
            <wp:extent cx="3429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Pledgee: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-7620</wp:posOffset>
            </wp:positionV>
            <wp:extent cx="1028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Pledgor: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-7620</wp:posOffset>
            </wp:positionV>
            <wp:extent cx="1028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Company where the Pledged Equity is 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-7620</wp:posOffset>
            </wp:positionV>
            <wp:extent cx="10287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Contribution corresponding to the Pledged Equity: RMB 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-7620</wp:posOffset>
            </wp:positionV>
            <wp:extent cx="10287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50" w:lineRule="exact"/>
        <w:rPr>
          <w:sz w:val="20"/>
          <w:szCs w:val="20"/>
          <w:color w:val="auto"/>
        </w:rPr>
      </w:pPr>
    </w:p>
    <w:p>
      <w:pPr>
        <w:ind w:left="424" w:hanging="424"/>
        <w:spacing w:after="0"/>
        <w:tabs>
          <w:tab w:leader="none" w:pos="424"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of Pledge</w:t>
      </w:r>
    </w:p>
    <w:p>
      <w:pPr>
        <w:spacing w:after="0" w:line="135" w:lineRule="exact"/>
        <w:rPr>
          <w:sz w:val="20"/>
          <w:szCs w:val="20"/>
          <w:color w:val="auto"/>
        </w:rPr>
      </w:pPr>
    </w:p>
    <w:p>
      <w:pPr>
        <w:ind w:left="424"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2.1</w:t>
        <w:tab/>
        <w:t>The pledge under this Agreement include the performance of all the obligations under the Principal Agreements by the Pledgor and Ctrip Commerce as well as on the entire compensation liability arising from the invalidity, cancellation or early termination of the Principal Agreements, including, without limitation, all amounts payable, outstanding debts, obligations and liabilities under the Principal Agreements, any fees and expenses incurred by the Pledgee for exercising its rights and the Pledge Right and the performance of the Principal Agreements. For the avoidance of doubt, the scope of the Pledge shall not be limited by the amount of the capital contribution made by the shareholders of Ctrip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995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4"/>
          </w:cols>
          <w:pgMar w:left="436" w:top="270" w:right="539" w:bottom="1440" w:gutter="0" w:footer="0" w:header="0"/>
        </w:sectPr>
      </w:pPr>
    </w:p>
    <w:bookmarkStart w:id="232" w:name="page233"/>
    <w:bookmarkEnd w:id="232"/>
    <w:p>
      <w:pPr>
        <w:ind w:left="424" w:right="8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w:t>
        <w:tab/>
        <w:t>The effect of the security under this Agreement shall not be affected due to any amendment or modification to the Principal Agreements, and the security hereunder shall remain valid on the obligations of the Pledgor and Ctrip Commerce under any Principal Agreements so amended or modified. If any of the Principal Agreements becomes invalid or is canceled or terminated for any reason whatsoever, the Pledgee has the right to immediately exercise the Pledge Right pursuant to Article 8 of this Agreement.</w:t>
      </w:r>
    </w:p>
    <w:p>
      <w:pPr>
        <w:spacing w:after="0" w:line="324" w:lineRule="exact"/>
        <w:rPr>
          <w:sz w:val="20"/>
          <w:szCs w:val="20"/>
          <w:color w:val="auto"/>
        </w:rPr>
      </w:pPr>
    </w:p>
    <w:p>
      <w:pPr>
        <w:ind w:left="424" w:hanging="424"/>
        <w:spacing w:after="0"/>
        <w:tabs>
          <w:tab w:leader="none" w:pos="424"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Creation and Term of Pledge</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pledge under this Agreement shall be registered at Ctrip Commerce’s shareholder register upon the date hereof.</w:t>
      </w:r>
    </w:p>
    <w:p>
      <w:pPr>
        <w:spacing w:after="0" w:line="131" w:lineRule="exact"/>
        <w:rPr>
          <w:sz w:val="20"/>
          <w:szCs w:val="20"/>
          <w:color w:val="auto"/>
        </w:rPr>
      </w:pPr>
    </w:p>
    <w:p>
      <w:pPr>
        <w:ind w:left="424" w:right="2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3.2</w:t>
        <w:tab/>
        <w:t>The Pledge Right hereunder shall be created as of the date when the equity pledge is registered at the competent administration for industry and commerce (AIC) of Ctrip Commerce.</w:t>
      </w:r>
    </w:p>
    <w:p>
      <w:pPr>
        <w:spacing w:after="0" w:line="67" w:lineRule="exact"/>
        <w:rPr>
          <w:sz w:val="20"/>
          <w:szCs w:val="20"/>
          <w:color w:val="auto"/>
        </w:rPr>
      </w:pPr>
    </w:p>
    <w:p>
      <w:pPr>
        <w:ind w:left="424" w:right="20" w:hanging="431"/>
        <w:spacing w:after="0" w:line="213" w:lineRule="auto"/>
        <w:tabs>
          <w:tab w:leader="none" w:pos="404" w:val="left"/>
        </w:tabs>
        <w:rPr>
          <w:sz w:val="20"/>
          <w:szCs w:val="20"/>
          <w:color w:val="auto"/>
        </w:rPr>
      </w:pPr>
      <w:r>
        <w:rPr>
          <w:rFonts w:ascii="Times New Roman" w:cs="Times New Roman" w:eastAsia="Times New Roman" w:hAnsi="Times New Roman"/>
          <w:sz w:val="18"/>
          <w:szCs w:val="18"/>
          <w:color w:val="auto"/>
        </w:rPr>
        <w:t>3.3</w:t>
        <w:tab/>
        <w:t>The term of the Pledge Right hereunder shall commence from its creation until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anniversary of the date when all obligations under the Principal Agreements have been completed.</w:t>
      </w:r>
    </w:p>
    <w:p>
      <w:pPr>
        <w:spacing w:after="0" w:line="104" w:lineRule="exact"/>
        <w:rPr>
          <w:sz w:val="20"/>
          <w:szCs w:val="20"/>
          <w:color w:val="auto"/>
        </w:rPr>
      </w:pPr>
    </w:p>
    <w:p>
      <w:pPr>
        <w:ind w:left="424" w:right="18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3.4</w:t>
        <w:tab/>
        <w:t>With the prior consent of the Pledgee, the Pledgor may increase its capital contribution to Ctrip Commerce, or transfer or acquire the equity interests in Ctrip Commerce; provided, however, that any such capital contribution by the Pledgor to Ctrip Commerce, or any such shareholding change of the Pledgor shall be subject to this Agreement. Ctrip Commerce shall immediately amend its shareholder register and file the change registration with respect to the equity interest and equity pledge to the AIC within fifteen (15) working days upon the date when such change occurs.</w:t>
      </w:r>
    </w:p>
    <w:p>
      <w:pPr>
        <w:spacing w:after="0" w:line="89" w:lineRule="exact"/>
        <w:rPr>
          <w:sz w:val="20"/>
          <w:szCs w:val="20"/>
          <w:color w:val="auto"/>
        </w:rPr>
      </w:pPr>
    </w:p>
    <w:p>
      <w:pPr>
        <w:ind w:left="424" w:right="1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3.5</w:t>
        <w:tab/>
        <w:t>Within the pledge term, if the Pledgor or Ctrip Commerce fails to perform any of the obligations under or arising from the Principal Agreements, the Pledgee has the right to exercise the Pledge Right in accordance with Article 8 of this Agreement.</w:t>
      </w:r>
    </w:p>
    <w:p>
      <w:pPr>
        <w:spacing w:after="0" w:line="306" w:lineRule="exact"/>
        <w:rPr>
          <w:sz w:val="20"/>
          <w:szCs w:val="20"/>
          <w:color w:val="auto"/>
        </w:rPr>
      </w:pPr>
    </w:p>
    <w:p>
      <w:pPr>
        <w:ind w:left="424" w:hanging="424"/>
        <w:spacing w:after="0"/>
        <w:tabs>
          <w:tab w:leader="none" w:pos="424"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Custody of Pledge Certificate</w:t>
      </w:r>
    </w:p>
    <w:p>
      <w:pPr>
        <w:spacing w:after="0" w:line="135" w:lineRule="exact"/>
        <w:rPr>
          <w:sz w:val="20"/>
          <w:szCs w:val="20"/>
          <w:color w:val="auto"/>
        </w:rPr>
      </w:pPr>
    </w:p>
    <w:p>
      <w:pPr>
        <w:ind w:left="424" w:right="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4.1</w:t>
        <w:tab/>
        <w:t>The Pledgor shall deliver to the custody of the Pledgee the certificate of its capital contribution to Ctrip Commerce and the shareholder register of Ctrip Commerce within one (1) week after the pledge is recorded at Ctrip Commerce’s shareholder register as required in Article 3; the Pledgee shall have the duty to well keep the pledge documents so received.</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If the pledge hereunder is released pursuant to this Agreement, the Pledgee shall return the pledge registration certificate to the Pledgor within five</w:t>
      </w:r>
    </w:p>
    <w:p>
      <w:pPr>
        <w:spacing w:after="0" w:line="27" w:lineRule="exact"/>
        <w:rPr>
          <w:sz w:val="20"/>
          <w:szCs w:val="20"/>
          <w:color w:val="auto"/>
        </w:rPr>
      </w:pPr>
    </w:p>
    <w:p>
      <w:pPr>
        <w:ind w:left="424" w:right="580" w:firstLine="8"/>
        <w:spacing w:after="0" w:line="260" w:lineRule="auto"/>
        <w:tabs>
          <w:tab w:leader="none" w:pos="67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days after the pledge is released, and provide necessary assistance to the Pledgor over the course of pledge release registration formalities.</w:t>
      </w:r>
    </w:p>
    <w:p>
      <w:pPr>
        <w:spacing w:after="0" w:line="8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The Pledgee shall have the right to collect all interests or beneficial rights, including dividends, accrued on the Pledged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233" w:name="page234"/>
    <w:bookmarkEnd w:id="233"/>
    <w:p>
      <w:pPr>
        <w:ind w:left="424" w:hanging="424"/>
        <w:spacing w:after="0"/>
        <w:tabs>
          <w:tab w:leader="none" w:pos="424"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Pledgor’s Representations and Warranties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Pledgor is the sole legal owner of the Pledged Equity.</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5.2</w:t>
        <w:tab/>
        <w:t>There should be no intervention from any other party at any time when the Pledgee exercises its rights as pledgee pursuant to this Agreement.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5.3</w:t>
        <w:tab/>
        <w:t>The Pledgee shall have the right to exercise or transfer the Pledge Right in any manners provided herein.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5.4</w:t>
        <w:tab/>
        <w:t>The Pledgor does not set up any other pledge or other encumbrances on the equity interest except those set up for the benefit of the Pledgee.</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5.5</w:t>
        <w:tab/>
        <w:t>The pledgee shall ensure that Ctrip Commerce’s shareholders’ meeting has adopted a resolution to approve the pledge under this Agreement.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This Agreement, once effective, constitutes a lawful, effective and binding obligation for the Pledgor.</w:t>
      </w:r>
    </w:p>
    <w:p>
      <w:pPr>
        <w:spacing w:after="0" w:line="131" w:lineRule="exact"/>
        <w:rPr>
          <w:sz w:val="20"/>
          <w:szCs w:val="20"/>
          <w:color w:val="auto"/>
        </w:rPr>
      </w:pPr>
    </w:p>
    <w:p>
      <w:pPr>
        <w:ind w:left="424" w:right="1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5.7</w:t>
        <w:tab/>
        <w:t>The pledge created by the Pledgor on the Pledged Equity pursuant to this Agreement will not violate the relevant stipulations of the laws, regulations of the State and government policies, nor will it violate any contracts or agreements entered into by and between the Pledgor and any third party, or any commitments made by the Pledgor to any third party.</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5.8</w:t>
        <w:tab/>
        <w:t>All documents and materials in relation to this Agreement provided by the Pledgor to the Pledgee are true, accurate and complete.</w:t>
      </w:r>
    </w:p>
    <w:p>
      <w:pPr>
        <w:spacing w:after="0" w:line="370" w:lineRule="exact"/>
        <w:rPr>
          <w:sz w:val="20"/>
          <w:szCs w:val="20"/>
          <w:color w:val="auto"/>
        </w:rPr>
      </w:pPr>
    </w:p>
    <w:p>
      <w:pPr>
        <w:ind w:left="424" w:hanging="424"/>
        <w:spacing w:after="0"/>
        <w:tabs>
          <w:tab w:leader="none" w:pos="424"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Pledgor’s Commitments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Throughout the existence of this Agreement, the Pledgor commits to and for the benefit of the Pledgee that the Pledgor will:</w:t>
      </w:r>
    </w:p>
    <w:p>
      <w:pPr>
        <w:spacing w:after="0" w:line="131" w:lineRule="exact"/>
        <w:rPr>
          <w:sz w:val="20"/>
          <w:szCs w:val="20"/>
          <w:color w:val="auto"/>
        </w:rPr>
      </w:pPr>
    </w:p>
    <w:p>
      <w:pPr>
        <w:ind w:left="964" w:hanging="532"/>
        <w:spacing w:after="0"/>
        <w:tabs>
          <w:tab w:leader="none" w:pos="96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Pledge Right hereunder is registered at the competent AIC;</w:t>
      </w:r>
    </w:p>
    <w:p>
      <w:pPr>
        <w:spacing w:after="0" w:line="130"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transfer or assign the Pledged Equity, or create or allow to exist any encumbrance (including pledge) which may affect the rights and benefits of the Pledgee without prior written consent of the Pledgee;</w:t>
      </w:r>
    </w:p>
    <w:p>
      <w:pPr>
        <w:spacing w:after="0" w:line="67" w:lineRule="exact"/>
        <w:rPr>
          <w:rFonts w:ascii="Times New Roman" w:cs="Times New Roman" w:eastAsia="Times New Roman" w:hAnsi="Times New Roman"/>
          <w:sz w:val="18"/>
          <w:szCs w:val="18"/>
          <w:color w:val="auto"/>
        </w:rPr>
      </w:pPr>
    </w:p>
    <w:p>
      <w:pPr>
        <w:ind w:left="964" w:right="140" w:hanging="532"/>
        <w:spacing w:after="0" w:line="261" w:lineRule="auto"/>
        <w:tabs>
          <w:tab w:leader="none" w:pos="96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implement all the relevant laws and regulations with respect to the pledge of rights; present to the Pledgee the notices, orders or suggestions issued or formulated by the competent authority with respect to the Pledge within five (5) days upon receiving such notices, orders or suggestions, and act as required by such notices, orders or suggestions, or raise objection or statement to any of the foregoing at the reasonable request of or upon the consent of the Pledgee; and</w:t>
      </w:r>
    </w:p>
    <w:p>
      <w:pPr>
        <w:spacing w:after="0" w:line="85" w:lineRule="exact"/>
        <w:rPr>
          <w:rFonts w:ascii="Times New Roman" w:cs="Times New Roman" w:eastAsia="Times New Roman" w:hAnsi="Times New Roman"/>
          <w:sz w:val="18"/>
          <w:szCs w:val="18"/>
          <w:color w:val="auto"/>
        </w:rPr>
      </w:pPr>
    </w:p>
    <w:p>
      <w:pPr>
        <w:ind w:left="964" w:hanging="532"/>
        <w:spacing w:after="0" w:line="312" w:lineRule="auto"/>
        <w:tabs>
          <w:tab w:leader="none" w:pos="964"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notify the Pledgee of any events or notices received which may affect the Pledgor’s rights in all or any part of the Pledged Equity, and any events or notices received which may change or affect any of the Pledgor’s warranties and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234" w:name="page235"/>
    <w:bookmarkEnd w:id="234"/>
    <w:p>
      <w:pPr>
        <w:ind w:left="424" w:right="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w:t>
        <w:tab/>
        <w:t>The Pledgor agrees that the Pledgee’s acquisition of the Pledge Right and exercise of its right to the pledge pursuant to this Agreement shall not be suspended or impaired by the Pledgor or any of its inheritors, successors, assigns, or any person authorized by the Pledgor or any such other person by way of any legal proceedings.</w:t>
      </w:r>
    </w:p>
    <w:p>
      <w:pPr>
        <w:spacing w:after="0" w:line="81" w:lineRule="exact"/>
        <w:rPr>
          <w:sz w:val="20"/>
          <w:szCs w:val="20"/>
          <w:color w:val="auto"/>
        </w:rPr>
      </w:pPr>
    </w:p>
    <w:p>
      <w:pPr>
        <w:ind w:left="424" w:right="180"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6.3</w:t>
        <w:tab/>
        <w:t>The Pledgor undertakes to the Pledgee that in order to protect or perfect the security hereunder for the creditors’ rights and obligations under the Principal Agreements, the Pledgor will (i) execute in good faith and cause other pledge-concerned parties to execute all title certificates and covenants, and/or act and cause other pledge-concerned parties to act as required by the Pledgee, (ii) facilitate the Pledgee to exercise the rights and authority empowered on the Pledgee by this Agreement, (iii) execute all documents in relation to the equity change (if applicable and necessary) with the Pledgee or its designated person (whether natural or legal), and (iv) provide the Pledgee with such pledge-related notices, orders and decisions as is considered necessary by the Pledgee within a reasonable period of time.</w:t>
      </w:r>
    </w:p>
    <w:p>
      <w:pPr>
        <w:spacing w:after="0" w:line="93" w:lineRule="exact"/>
        <w:rPr>
          <w:sz w:val="20"/>
          <w:szCs w:val="20"/>
          <w:color w:val="auto"/>
        </w:rPr>
      </w:pPr>
    </w:p>
    <w:p>
      <w:pPr>
        <w:ind w:left="424" w:right="20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6.4</w:t>
        <w:tab/>
        <w:t>The Pledgor undertakes to the Pledgee to comply with and perform, for the benefit of the Pledgee, all the warranties, commitments, covenants, representations, conditions and obligations under this Agreement and the Principal Agreements. The Pledgor shall indemnify the Pledgee for all the losses suffered by the Pledgee resulting from the Pledgor’s inability to comply with or failure to perform or fully perform such warranties, commitments, covenants, representations, conditions and obligations under this Agreement and the Principal Agreements.</w:t>
      </w:r>
    </w:p>
    <w:p>
      <w:pPr>
        <w:spacing w:after="0" w:line="324" w:lineRule="exact"/>
        <w:rPr>
          <w:sz w:val="20"/>
          <w:szCs w:val="20"/>
          <w:color w:val="auto"/>
        </w:rPr>
      </w:pPr>
    </w:p>
    <w:p>
      <w:pPr>
        <w:ind w:left="424" w:hanging="424"/>
        <w:spacing w:after="0"/>
        <w:tabs>
          <w:tab w:leader="none" w:pos="424"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7.1</w:t>
        <w:tab/>
        <w:t>Any of the following events shall be regarded as an event of default:</w:t>
      </w:r>
    </w:p>
    <w:p>
      <w:pPr>
        <w:spacing w:after="0" w:line="131" w:lineRule="exact"/>
        <w:rPr>
          <w:sz w:val="20"/>
          <w:szCs w:val="20"/>
          <w:color w:val="auto"/>
        </w:rPr>
      </w:pPr>
    </w:p>
    <w:p>
      <w:pPr>
        <w:ind w:left="964" w:hanging="532"/>
        <w:spacing w:after="0" w:line="282" w:lineRule="auto"/>
        <w:tabs>
          <w:tab w:leader="none" w:pos="96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representations or warranties made by the Pledgor under Articles 5 hereof is materially misleading or wrong, and/or the Pledgor breaches any of the warranties contained in Article 5 hereof;</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 breaches any of the commitments contained in Article 6 hereof;</w:t>
      </w:r>
    </w:p>
    <w:p>
      <w:pPr>
        <w:spacing w:after="0" w:line="130" w:lineRule="exact"/>
        <w:rPr>
          <w:rFonts w:ascii="Times New Roman" w:cs="Times New Roman" w:eastAsia="Times New Roman" w:hAnsi="Times New Roman"/>
          <w:sz w:val="18"/>
          <w:szCs w:val="18"/>
          <w:color w:val="auto"/>
        </w:rPr>
      </w:pPr>
    </w:p>
    <w:p>
      <w:pPr>
        <w:ind w:left="964" w:right="700" w:hanging="532"/>
        <w:spacing w:after="0" w:line="282" w:lineRule="auto"/>
        <w:tabs>
          <w:tab w:leader="none" w:pos="96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 or Ctrip Commerce breaches any provision under this Agreement or the Principal Agreements, or fails to perform its obligations hereunder or thereunder;</w:t>
      </w:r>
    </w:p>
    <w:p>
      <w:pPr>
        <w:spacing w:after="0" w:line="67"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or obligation of the Pledgor or Ctrip Commerce under this Agreement or the Principal Agreements is deemed as illegal, invalid, void or unenforceable;</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 waives or transfers the Pledged Equity, or creates any encumbrances thereupon, without written consent from the Pledgee;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235" w:name="page236"/>
    <w:bookmarkEnd w:id="235"/>
    <w:p>
      <w:pPr>
        <w:ind w:left="964" w:hanging="532"/>
        <w:spacing w:after="0" w:line="261" w:lineRule="auto"/>
        <w:tabs>
          <w:tab w:leader="none" w:pos="9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the Pledgor’s external loans, guarantees, warranties, indemnities, covenants or other repayment liabilities (i) is required to be repaid or performed prior to the scheduled date due to a breach; or (ii) is due but unable to be repaid or performed as scheduled and thereby cause the Pledgee to believe that the Pledgor’s capability to perform the obligations hereunder or under the Principle Agreements has been affected;</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 is incapable of repaying the general obligation or other liabilities;</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promulgation of relevant laws renders, or any applicable law deems any provision under this Agreement or the Principle Agreements as illegal, or deprives the Pledgor of its capability to continue to perform its obligations under this Agreement or the Principle Agreements;</w:t>
      </w:r>
    </w:p>
    <w:p>
      <w:pPr>
        <w:spacing w:after="0" w:line="67"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consents, permits, approvals or authorizations, based on which this Agreement or the Principle Agreements is deemed enforceable, legitimate and valid, are revoked, terminated, invalidated or materially revised;</w:t>
      </w:r>
    </w:p>
    <w:p>
      <w:pPr>
        <w:spacing w:after="0" w:line="67"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of the Pledgor suffers adverse change, which causes the Pledgee to believe that the capability of the Pledgor to perform the obligations hereunder or under the Principle Agreements has been affected;</w:t>
      </w:r>
    </w:p>
    <w:p>
      <w:pPr>
        <w:spacing w:after="0" w:line="67" w:lineRule="exact"/>
        <w:rPr>
          <w:rFonts w:ascii="Times New Roman" w:cs="Times New Roman" w:eastAsia="Times New Roman" w:hAnsi="Times New Roman"/>
          <w:sz w:val="18"/>
          <w:szCs w:val="18"/>
          <w:color w:val="auto"/>
        </w:rPr>
      </w:pPr>
    </w:p>
    <w:p>
      <w:pPr>
        <w:ind w:left="964" w:right="740" w:hanging="532"/>
        <w:spacing w:after="0" w:line="282" w:lineRule="auto"/>
        <w:tabs>
          <w:tab w:leader="none" w:pos="9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 breaches this Agreement or the Principle Agreements by an act and/or omission in violation of the provisions of this Agreement;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under which the Pledgee may not dispose of its Pledge Right under relevant laws.</w:t>
      </w:r>
    </w:p>
    <w:p>
      <w:pPr>
        <w:spacing w:after="0" w:line="131" w:lineRule="exact"/>
        <w:rPr>
          <w:sz w:val="20"/>
          <w:szCs w:val="20"/>
          <w:color w:val="auto"/>
        </w:rPr>
      </w:pPr>
    </w:p>
    <w:p>
      <w:pPr>
        <w:ind w:left="424" w:right="7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7.2</w:t>
        <w:tab/>
        <w:t>The Pledgor shall immediately notify the Pledgee in writing once it is aware or discovers that any of the events mentioned in Article 7.1 hereinabove or any event that may result in any of such events has occurred.</w:t>
      </w:r>
    </w:p>
    <w:p>
      <w:pPr>
        <w:spacing w:after="0" w:line="67" w:lineRule="exact"/>
        <w:rPr>
          <w:sz w:val="20"/>
          <w:szCs w:val="20"/>
          <w:color w:val="auto"/>
        </w:rPr>
      </w:pPr>
    </w:p>
    <w:p>
      <w:pPr>
        <w:ind w:left="424" w:right="20" w:hanging="431"/>
        <w:spacing w:after="0" w:line="289" w:lineRule="auto"/>
        <w:tabs>
          <w:tab w:leader="none" w:pos="40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Unless any of the events of default listed in Article 7.1 hereinabove has been fully resolved to the Pledgee’s satisfaction, the Pledgee may, at the occurrence of such event of default or any time thereafter, send a written notice of default to the Pledgor, requiring the Pledgor or Ctrip Commerce to immediately perform its obligations under the Principal Agreements or requiring its exercise of the Pledge Right pursuant to Article 8 hereof.</w:t>
      </w:r>
    </w:p>
    <w:p>
      <w:pPr>
        <w:spacing w:after="0" w:line="302" w:lineRule="exact"/>
        <w:rPr>
          <w:sz w:val="20"/>
          <w:szCs w:val="20"/>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the Pledge Right</w:t>
      </w:r>
    </w:p>
    <w:p>
      <w:pPr>
        <w:spacing w:after="0" w:line="135"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8.1</w:t>
        <w:tab/>
        <w:t>The Pledgor shall not transfer or assign the Pledged Equity without written approval from the Pledgee until all the obligations under the Principal Agreements have been fully performed.</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In case an event of default listed in Article 7 does occur, the Pledgee shall give a notice of default to the Pledgor when exercising its Pledge Right.</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8.3</w:t>
        <w:tab/>
        <w:t>Subject to Article 7.3, the Pledgee may dispose of the Pledge Right either at the same time when the notice of default is sent pursuant to Article</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7.3 or at any time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236" w:name="page237"/>
    <w:bookmarkEnd w:id="236"/>
    <w:p>
      <w:pPr>
        <w:ind w:left="424" w:right="4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8.4</w:t>
        <w:tab/>
        <w:t>The Pledgee has the right to convert the value of all or part of the Pledged Equity hereunder into money in compliance with legal procedures, or has the priority to be compensated by the proceeds generated from auction or sale of such equity interests, until the obligations under the Principal Agreement have been fully performed. If the Pledgee decides to exercise the Pledge Right, the Pledgor undertakes to transfer all its shareholder rights to the Pledgee for its exercise.</w:t>
      </w:r>
    </w:p>
    <w:p>
      <w:pPr>
        <w:spacing w:after="0" w:line="85" w:lineRule="exact"/>
        <w:rPr>
          <w:sz w:val="20"/>
          <w:szCs w:val="20"/>
          <w:color w:val="auto"/>
        </w:rPr>
      </w:pPr>
    </w:p>
    <w:p>
      <w:pPr>
        <w:ind w:left="424" w:right="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8.5</w:t>
        <w:tab/>
        <w:t>The Pledgor shall not hinder the Pledgee from exercising the Pledge Right in accordance with this Agreement and shall instead give necessary and positive assistance so that the Pledgee can realize its Pledge Right.</w:t>
      </w:r>
    </w:p>
    <w:p>
      <w:pPr>
        <w:spacing w:after="0" w:line="306" w:lineRule="exact"/>
        <w:rPr>
          <w:sz w:val="20"/>
          <w:szCs w:val="20"/>
          <w:color w:val="auto"/>
        </w:rPr>
      </w:pPr>
    </w:p>
    <w:p>
      <w:pPr>
        <w:ind w:left="424" w:hanging="424"/>
        <w:spacing w:after="0"/>
        <w:tabs>
          <w:tab w:leader="none" w:pos="424"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35" w:lineRule="exact"/>
        <w:rPr>
          <w:sz w:val="20"/>
          <w:szCs w:val="20"/>
          <w:color w:val="auto"/>
        </w:rPr>
      </w:pPr>
    </w:p>
    <w:p>
      <w:pPr>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9.1</w:t>
        <w:tab/>
        <w:t>The Pledgor shall not donate or transfer its rights and obligations hereunder without prior consent from the Pledgee. The Pledgor agrees that if he/she dies or loses his/her full capacity for civil acts, his/her rights and obligations hereunder will be immediately transferred to and succeeded by the Pledgee’s designated person, or the Pledged Equity will be transferred to the Pledgee for its disposal at its sole discretion, including but not limited to the cases under which the Pledgee or its designated person will be transferred and thus acquire the Pledged Equity.</w:t>
      </w:r>
    </w:p>
    <w:p>
      <w:pPr>
        <w:spacing w:after="0" w:line="85" w:lineRule="exact"/>
        <w:rPr>
          <w:sz w:val="20"/>
          <w:szCs w:val="20"/>
          <w:color w:val="auto"/>
        </w:rPr>
      </w:pPr>
    </w:p>
    <w:p>
      <w:pPr>
        <w:ind w:left="424" w:right="8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9.2</w:t>
        <w:tab/>
        <w:t>The Pledgee may transfer or assign any or all of its rights and obligations under the Principal Agreements to any person (whether natural or legal) designated by it at any time to the extent permissible by the laws. In this case, the assignee shall enjoy the rights and undertake the obligations of the Pledgee hereunder as if the assignee itself were a party hereto. When the Pledgee transfers or assigns its rights and obligations under the Principal Agreements, the Pledgor shall, at the request of the Pledgee, execute all relevant agreements and/or documents with respect to such transfer or assignment.</w:t>
      </w:r>
    </w:p>
    <w:p>
      <w:pPr>
        <w:spacing w:after="0" w:line="89" w:lineRule="exact"/>
        <w:rPr>
          <w:sz w:val="20"/>
          <w:szCs w:val="20"/>
          <w:color w:val="auto"/>
        </w:rPr>
      </w:pPr>
    </w:p>
    <w:p>
      <w:pPr>
        <w:ind w:left="424" w:right="2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9.3</w:t>
        <w:tab/>
        <w:t>After the pledgee is changed due to the abovementioned transfer or assignment, the new parties to the pledge shall execute a new equity pledge agreement, which shall be substantially consistent with this Agreement.</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9.4</w:t>
        <w:tab/>
        <w:t>This Agreement shall be effective and binding upon both Parties and their respective successors, inheritors and assigns.</w:t>
      </w:r>
    </w:p>
    <w:p>
      <w:pPr>
        <w:spacing w:after="0" w:line="370" w:lineRule="exact"/>
        <w:rPr>
          <w:sz w:val="20"/>
          <w:szCs w:val="20"/>
          <w:color w:val="auto"/>
        </w:rPr>
      </w:pPr>
    </w:p>
    <w:p>
      <w:pPr>
        <w:ind w:left="424" w:hanging="424"/>
        <w:spacing w:after="0"/>
        <w:tabs>
          <w:tab w:leader="none" w:pos="424"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and Termination of the Agreement</w:t>
      </w:r>
    </w:p>
    <w:p>
      <w:pPr>
        <w:spacing w:after="0" w:line="135" w:lineRule="exact"/>
        <w:rPr>
          <w:sz w:val="20"/>
          <w:szCs w:val="20"/>
          <w:color w:val="auto"/>
        </w:rPr>
      </w:pPr>
    </w:p>
    <w:p>
      <w:pPr>
        <w:ind w:left="424" w:right="100" w:hanging="431"/>
        <w:spacing w:after="0" w:line="282" w:lineRule="auto"/>
        <w:rPr>
          <w:sz w:val="20"/>
          <w:szCs w:val="20"/>
          <w:color w:val="auto"/>
        </w:rPr>
      </w:pPr>
      <w:r>
        <w:rPr>
          <w:rFonts w:ascii="Times New Roman" w:cs="Times New Roman" w:eastAsia="Times New Roman" w:hAnsi="Times New Roman"/>
          <w:sz w:val="18"/>
          <w:szCs w:val="18"/>
          <w:color w:val="auto"/>
        </w:rPr>
        <w:t>10.1 This Agreement shall come into effectiveness as of the date of its execution. The Parties hereby agree and confirm that the effect of the terms and conditions of this Agreement shall retrospect to the day when the Pledgor became a shareholder of Ctrip Commerce.</w:t>
      </w:r>
    </w:p>
    <w:p>
      <w:pPr>
        <w:spacing w:after="0" w:line="67" w:lineRule="exact"/>
        <w:rPr>
          <w:sz w:val="20"/>
          <w:szCs w:val="20"/>
          <w:color w:val="auto"/>
        </w:rPr>
      </w:pPr>
    </w:p>
    <w:p>
      <w:pPr>
        <w:ind w:left="424" w:right="460" w:hanging="431"/>
        <w:spacing w:after="0" w:line="282" w:lineRule="auto"/>
        <w:rPr>
          <w:sz w:val="20"/>
          <w:szCs w:val="20"/>
          <w:color w:val="auto"/>
        </w:rPr>
      </w:pPr>
      <w:r>
        <w:rPr>
          <w:rFonts w:ascii="Times New Roman" w:cs="Times New Roman" w:eastAsia="Times New Roman" w:hAnsi="Times New Roman"/>
          <w:sz w:val="18"/>
          <w:szCs w:val="18"/>
          <w:color w:val="auto"/>
        </w:rPr>
        <w:t>10.2 The Parties further confirm that the effectiveness and validity of this Agreement shall not be affected regardless of whether or not the pledge hereunder is registered at the competent AIC.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237" w:name="page238"/>
    <w:bookmarkEnd w:id="237"/>
    <w:p>
      <w:pPr>
        <w:ind w:left="424" w:right="28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10.3 This Agreement shall expire two (2) years after the Pledgor and Ctrip Commerce no longer undertake any obligations under or arising from the Principal Agreements, and in this case, the Pledgee shall cancel or terminate this Agreement as soon as reasonably practicable.</w:t>
      </w:r>
    </w:p>
    <w:p>
      <w:pPr>
        <w:spacing w:after="0" w:line="67" w:lineRule="exact"/>
        <w:rPr>
          <w:sz w:val="20"/>
          <w:szCs w:val="20"/>
          <w:color w:val="auto"/>
        </w:rPr>
      </w:pPr>
    </w:p>
    <w:p>
      <w:pPr>
        <w:ind w:left="424" w:right="180" w:hanging="431"/>
        <w:spacing w:after="0" w:line="282" w:lineRule="auto"/>
        <w:rPr>
          <w:sz w:val="20"/>
          <w:szCs w:val="20"/>
          <w:color w:val="auto"/>
        </w:rPr>
      </w:pPr>
      <w:r>
        <w:rPr>
          <w:rFonts w:ascii="Times New Roman" w:cs="Times New Roman" w:eastAsia="Times New Roman" w:hAnsi="Times New Roman"/>
          <w:sz w:val="18"/>
          <w:szCs w:val="18"/>
          <w:color w:val="auto"/>
        </w:rPr>
        <w:t>10.4 The release of pledge shall also be recorded accordingly at the shareholder register of Ctrip Commerce, and the deregistration of the pledge shall be completed at the competent AIC of Ctrip Commerce according to the relevant laws.</w:t>
      </w:r>
    </w:p>
    <w:p>
      <w:pPr>
        <w:spacing w:after="0" w:line="306" w:lineRule="exact"/>
        <w:rPr>
          <w:sz w:val="20"/>
          <w:szCs w:val="20"/>
          <w:color w:val="auto"/>
        </w:rPr>
      </w:pPr>
    </w:p>
    <w:p>
      <w:pPr>
        <w:ind w:left="424" w:hanging="424"/>
        <w:spacing w:after="0"/>
        <w:tabs>
          <w:tab w:leader="none" w:pos="424"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Formality Fees and Other Expenses</w:t>
      </w:r>
    </w:p>
    <w:p>
      <w:pPr>
        <w:spacing w:after="0" w:line="135" w:lineRule="exact"/>
        <w:rPr>
          <w:sz w:val="20"/>
          <w:szCs w:val="20"/>
          <w:color w:val="auto"/>
        </w:rPr>
      </w:pPr>
    </w:p>
    <w:p>
      <w:pPr>
        <w:ind w:left="424" w:right="160" w:hanging="431"/>
        <w:spacing w:after="0" w:line="261" w:lineRule="auto"/>
        <w:rPr>
          <w:sz w:val="20"/>
          <w:szCs w:val="20"/>
          <w:color w:val="auto"/>
        </w:rPr>
      </w:pPr>
      <w:r>
        <w:rPr>
          <w:rFonts w:ascii="Times New Roman" w:cs="Times New Roman" w:eastAsia="Times New Roman" w:hAnsi="Times New Roman"/>
          <w:sz w:val="18"/>
          <w:szCs w:val="18"/>
          <w:color w:val="auto"/>
        </w:rPr>
        <w:t>11.1 The Parties agree and confirm that the Pledgor shall bear any and all costs and actual expenses in relation to this Agreement, including without limitation any and all legal costs, production costs, stamp tax and any other taxes, costs and expenses arising from the performance of this Agreement by the Parties. If the Pledgee is required to pay the relevant taxes and expenses by the law, the Pledgor shall reimburse to the Pledgee in full the taxes and fees that have been paid by the Pledgee, unless the Pledgee agrees to bear all or part of such taxes and fees.</w:t>
      </w:r>
    </w:p>
    <w:p>
      <w:pPr>
        <w:spacing w:after="0" w:line="85" w:lineRule="exact"/>
        <w:rPr>
          <w:sz w:val="20"/>
          <w:szCs w:val="20"/>
          <w:color w:val="auto"/>
        </w:rPr>
      </w:pPr>
    </w:p>
    <w:p>
      <w:pPr>
        <w:jc w:val="both"/>
        <w:ind w:left="424" w:right="20" w:hanging="431"/>
        <w:spacing w:after="0" w:line="289" w:lineRule="auto"/>
        <w:rPr>
          <w:sz w:val="20"/>
          <w:szCs w:val="20"/>
          <w:color w:val="auto"/>
        </w:rPr>
      </w:pPr>
      <w:r>
        <w:rPr>
          <w:rFonts w:ascii="Times New Roman" w:cs="Times New Roman" w:eastAsia="Times New Roman" w:hAnsi="Times New Roman"/>
          <w:sz w:val="17"/>
          <w:szCs w:val="17"/>
          <w:color w:val="auto"/>
        </w:rPr>
        <w:t>11.2 If the Pledgor fails to pay any taxes or expenses payable by it hereunder, or the Pledgee is otherwise rendered to take any approaches or actions to recover the amounts payable by the Pledgor, the Pledgor shall bear all costs arising therefrom, including without limitation, all kinds of taxes, fees, formality fees, administration fees, litigation costs, attorney fees and various insurance costs, etc. arising from the disposal of the Pledge Right.</w:t>
      </w:r>
    </w:p>
    <w:p>
      <w:pPr>
        <w:spacing w:after="0" w:line="302" w:lineRule="exact"/>
        <w:rPr>
          <w:sz w:val="20"/>
          <w:szCs w:val="20"/>
          <w:color w:val="auto"/>
        </w:rPr>
      </w:pPr>
    </w:p>
    <w:p>
      <w:pPr>
        <w:ind w:left="424" w:hanging="424"/>
        <w:spacing w:after="0"/>
        <w:tabs>
          <w:tab w:leader="none" w:pos="424"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135" w:lineRule="exact"/>
        <w:rPr>
          <w:sz w:val="20"/>
          <w:szCs w:val="20"/>
          <w:color w:val="auto"/>
        </w:rPr>
      </w:pPr>
    </w:p>
    <w:p>
      <w:pPr>
        <w:ind w:left="424" w:hanging="431"/>
        <w:spacing w:after="0" w:line="258" w:lineRule="auto"/>
        <w:rPr>
          <w:sz w:val="20"/>
          <w:szCs w:val="20"/>
          <w:color w:val="auto"/>
        </w:rPr>
      </w:pPr>
      <w:r>
        <w:rPr>
          <w:rFonts w:ascii="Times New Roman" w:cs="Times New Roman" w:eastAsia="Times New Roman" w:hAnsi="Times New Roman"/>
          <w:sz w:val="18"/>
          <w:szCs w:val="18"/>
          <w:color w:val="auto"/>
        </w:rPr>
        <w:t>12.1 An “Force Majeure Event” shall mean any event beyond the reasonable anticipation and control of a Party so affected, which are unavoidable even if the affected Party takes a reasonable care, including but not limited to governmental acts, Act of God, fires, explosion, storms, floods, earthquakes, tides, lightning or wars. However, any shortage of credits, funds or financing shall not be deemed as the events beyond reasonable control of the affected Party. The affected Party shall forthwith inform the other Party of the details concerning the exemption of liabilities and the steps that need to be taken to complete discharging such liabilities.</w:t>
      </w:r>
    </w:p>
    <w:p>
      <w:pPr>
        <w:spacing w:after="0" w:line="89" w:lineRule="exact"/>
        <w:rPr>
          <w:sz w:val="20"/>
          <w:szCs w:val="20"/>
          <w:color w:val="auto"/>
        </w:rPr>
      </w:pPr>
    </w:p>
    <w:p>
      <w:pPr>
        <w:ind w:left="424" w:right="140" w:hanging="431"/>
        <w:spacing w:after="0" w:line="258" w:lineRule="auto"/>
        <w:rPr>
          <w:sz w:val="20"/>
          <w:szCs w:val="20"/>
          <w:color w:val="auto"/>
        </w:rPr>
      </w:pPr>
      <w:r>
        <w:rPr>
          <w:rFonts w:ascii="Times New Roman" w:cs="Times New Roman" w:eastAsia="Times New Roman" w:hAnsi="Times New Roman"/>
          <w:sz w:val="18"/>
          <w:szCs w:val="18"/>
          <w:color w:val="auto"/>
        </w:rPr>
        <w:t>12.2 In the event that the performance of this Agreement is delayed or interrupted due to the said Force Majeure Event, the affected Party shall be excused from any liability hereunder to the extent of the delayed or interrupted performance, provided, however, that the affected Party shall take appropriate measures to minimize or eliminate the adverse impacts therefrom and strive to resume the performance of this Agreement so delayed or interrupted. The Parties agree to use their best efforts to continue the performance of this Agreement once the said Force Majeure Event disappears.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238" w:name="page239"/>
    <w:bookmarkEnd w:id="238"/>
    <w:p>
      <w:pPr>
        <w:ind w:left="424" w:hanging="424"/>
        <w:spacing w:after="0"/>
        <w:tabs>
          <w:tab w:leader="none" w:pos="42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and Dispute Resolution</w:t>
      </w:r>
    </w:p>
    <w:p>
      <w:pPr>
        <w:spacing w:after="0" w:line="135" w:lineRule="exact"/>
        <w:rPr>
          <w:sz w:val="20"/>
          <w:szCs w:val="20"/>
          <w:color w:val="auto"/>
        </w:rPr>
      </w:pPr>
    </w:p>
    <w:p>
      <w:pPr>
        <w:ind w:left="424" w:right="120" w:hanging="431"/>
        <w:spacing w:after="0" w:line="282" w:lineRule="auto"/>
        <w:rPr>
          <w:sz w:val="20"/>
          <w:szCs w:val="20"/>
          <w:color w:val="auto"/>
        </w:rPr>
      </w:pPr>
      <w:r>
        <w:rPr>
          <w:rFonts w:ascii="Times New Roman" w:cs="Times New Roman" w:eastAsia="Times New Roman" w:hAnsi="Times New Roman"/>
          <w:sz w:val="18"/>
          <w:szCs w:val="18"/>
          <w:color w:val="auto"/>
        </w:rPr>
        <w:t>13.1 The formation, validity, interpretation, performance and termination of this Agreement and the disputes resolution under this Agreement shall be governed by the PRC laws.</w:t>
      </w:r>
    </w:p>
    <w:p>
      <w:pPr>
        <w:spacing w:after="0" w:line="67" w:lineRule="exact"/>
        <w:rPr>
          <w:sz w:val="20"/>
          <w:szCs w:val="20"/>
          <w:color w:val="auto"/>
        </w:rPr>
      </w:pPr>
    </w:p>
    <w:p>
      <w:pPr>
        <w:ind w:left="424" w:hanging="431"/>
        <w:spacing w:after="0" w:line="258" w:lineRule="auto"/>
        <w:rPr>
          <w:sz w:val="20"/>
          <w:szCs w:val="20"/>
          <w:color w:val="auto"/>
        </w:rPr>
      </w:pPr>
      <w:r>
        <w:rPr>
          <w:rFonts w:ascii="Times New Roman" w:cs="Times New Roman" w:eastAsia="Times New Roman" w:hAnsi="Times New Roman"/>
          <w:sz w:val="18"/>
          <w:szCs w:val="18"/>
          <w:color w:val="auto"/>
        </w:rPr>
        <w:t>13.2 Any disputes arising from the interpretation and performance of this Agreement shall first be resolved through friendly consultation among the Parties. In case no settlement can be reached through consultation within thirty (30) days after the request for consultation is made by any Party with a written notice, any Party can submit such disputes to Shanghai International Economic and Trade Arbitration Commission for arbitration in accordance with its then effective rules. The arbitration shall take place in Shanghai. The arbitration proceedings shall be conducted in Chinese. The arbitration award shall be final and binding upon both Parties.</w:t>
      </w:r>
    </w:p>
    <w:p>
      <w:pPr>
        <w:spacing w:after="0" w:line="89" w:lineRule="exact"/>
        <w:rPr>
          <w:sz w:val="20"/>
          <w:szCs w:val="20"/>
          <w:color w:val="auto"/>
        </w:rPr>
      </w:pPr>
    </w:p>
    <w:p>
      <w:pPr>
        <w:ind w:left="424" w:right="260" w:hanging="431"/>
        <w:spacing w:after="0" w:line="282" w:lineRule="auto"/>
        <w:rPr>
          <w:sz w:val="20"/>
          <w:szCs w:val="20"/>
          <w:color w:val="auto"/>
        </w:rPr>
      </w:pPr>
      <w:r>
        <w:rPr>
          <w:rFonts w:ascii="Times New Roman" w:cs="Times New Roman" w:eastAsia="Times New Roman" w:hAnsi="Times New Roman"/>
          <w:sz w:val="18"/>
          <w:szCs w:val="18"/>
          <w:color w:val="auto"/>
        </w:rPr>
        <w:t>13.3 If any dispute arises from the interpretation and performance of this Agreement or any dispute is under arbitration, the Parties shall continue to perform their respective rights and obligations hereunder other than those in dispute.</w:t>
      </w:r>
    </w:p>
    <w:p>
      <w:pPr>
        <w:spacing w:after="0" w:line="306" w:lineRule="exact"/>
        <w:rPr>
          <w:sz w:val="20"/>
          <w:szCs w:val="20"/>
          <w:color w:val="auto"/>
        </w:rPr>
      </w:pPr>
    </w:p>
    <w:p>
      <w:pPr>
        <w:ind w:left="424" w:hanging="424"/>
        <w:spacing w:after="0"/>
        <w:tabs>
          <w:tab w:leader="none" w:pos="424"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Notices or other communications required to be given by any Party pursuant to this Agreement shall be written in Chinese or English and delivered personally or sent by registered mail, postage prepaid mail, express delivery or facsimile transmission to the addresses of the other Parties set forth below, or to other designated addresses notified by such other Parties to such Party from time to time, or the addresses of other persons designated by such Party. A notice is deemed to be duly served: (a) if delivered personally, upon the delivery; (b) if sent by mail, on the tenth (10th) day after the date when the air registered mail with postage prepaid has been sent out (as is shown on the postmark), or the fourth (4th) day after delivered to the courier service agency; and (c) if sent by facsimile transmission, upon the receipt time as is shown on the transmission confirmation of relevant documents.</w:t>
      </w:r>
    </w:p>
    <w:p>
      <w:pPr>
        <w:spacing w:after="0" w:line="67" w:lineRule="exact"/>
        <w:rPr>
          <w:sz w:val="20"/>
          <w:szCs w:val="20"/>
          <w:color w:val="auto"/>
        </w:rPr>
      </w:pPr>
    </w:p>
    <w:tbl>
      <w:tblPr>
        <w:tblLayout w:type="fixed"/>
        <w:tblInd w:w="1424" w:type="dxa"/>
        <w:tblCellMar>
          <w:top w:w="0" w:type="dxa"/>
          <w:left w:w="0" w:type="dxa"/>
          <w:bottom w:w="0" w:type="dxa"/>
          <w:right w:w="0" w:type="dxa"/>
        </w:tblCellMar>
      </w:tblPr>
      <w:tr>
        <w:trPr>
          <w:trHeight w:val="207"/>
        </w:trPr>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1"/>
              </w:rPr>
              <w:t xml:space="preserve">If to </w:t>
            </w:r>
            <w:r>
              <w:rPr>
                <w:rFonts w:ascii="Times New Roman" w:cs="Times New Roman" w:eastAsia="Times New Roman" w:hAnsi="Times New Roman"/>
                <w:sz w:val="18"/>
                <w:szCs w:val="18"/>
                <w:b w:val="1"/>
                <w:bCs w:val="1"/>
                <w:color w:val="auto"/>
                <w:w w:val="91"/>
              </w:rPr>
              <w:t>Party A:</w:t>
            </w:r>
            <w:r>
              <w:rPr>
                <w:rFonts w:ascii="Times New Roman" w:cs="Times New Roman" w:eastAsia="Times New Roman" w:hAnsi="Times New Roman"/>
                <w:sz w:val="18"/>
                <w:szCs w:val="18"/>
                <w:color w:val="auto"/>
                <w:w w:val="91"/>
              </w:rPr>
              <w:t xml:space="preserve">  </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Borders>
              <w:right w:val="single" w:sz="8" w:color="auto"/>
            </w:tcBorders>
            <w:gridSpan w:val="4"/>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9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 xml:space="preserve">Attn: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9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 xml:space="preserve">Address: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86"/>
              </w:rPr>
              <w:t>Phone: ( </w:t>
            </w:r>
          </w:p>
        </w:tc>
        <w:tc>
          <w:tcPr>
            <w:tcW w:w="28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75"/>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r>
      <w:tr>
        <w:trPr>
          <w:trHeight w:val="196"/>
        </w:trPr>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Fax: ( 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77"/>
              </w:rPr>
              <w:t>)  </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r>
      <w:tr>
        <w:trPr>
          <w:trHeight w:val="304"/>
        </w:trPr>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2"/>
              </w:rPr>
              <w:t xml:space="preserve">If to </w:t>
            </w:r>
            <w:r>
              <w:rPr>
                <w:rFonts w:ascii="Times New Roman" w:cs="Times New Roman" w:eastAsia="Times New Roman" w:hAnsi="Times New Roman"/>
                <w:sz w:val="18"/>
                <w:szCs w:val="18"/>
                <w:b w:val="1"/>
                <w:bCs w:val="1"/>
                <w:color w:val="auto"/>
                <w:w w:val="92"/>
              </w:rPr>
              <w:t>Party B:</w:t>
            </w:r>
            <w:r>
              <w:rPr>
                <w:rFonts w:ascii="Times New Roman" w:cs="Times New Roman" w:eastAsia="Times New Roman" w:hAnsi="Times New Roman"/>
                <w:sz w:val="18"/>
                <w:szCs w:val="18"/>
                <w:color w:val="auto"/>
                <w:w w:val="92"/>
              </w:rPr>
              <w:t xml:space="preserve">  </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spacing w:after="0"/>
              <w:rPr>
                <w:sz w:val="24"/>
                <w:szCs w:val="24"/>
                <w:color w:val="auto"/>
              </w:rPr>
            </w:pPr>
          </w:p>
        </w:tc>
      </w:tr>
      <w:tr>
        <w:trPr>
          <w:trHeight w:val="20"/>
        </w:trPr>
        <w:tc>
          <w:tcPr>
            <w:tcW w:w="1080" w:type="dxa"/>
            <w:vAlign w:val="bottom"/>
            <w:tcBorders>
              <w:right w:val="single" w:sz="8" w:color="auto"/>
            </w:tcBorders>
            <w:gridSpan w:val="5"/>
          </w:tcPr>
          <w:p>
            <w:pPr>
              <w:spacing w:after="0" w:line="20" w:lineRule="exact"/>
              <w:rPr>
                <w:sz w:val="1"/>
                <w:szCs w:val="1"/>
                <w:color w:val="auto"/>
              </w:rPr>
            </w:pPr>
          </w:p>
        </w:tc>
        <w:tc>
          <w:tcPr>
            <w:tcW w:w="840" w:type="dxa"/>
            <w:vAlign w:val="bottom"/>
            <w:gridSpan w:val="6"/>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9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 xml:space="preserve">Address: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86"/>
              </w:rPr>
              <w:t>Phone: ( </w:t>
            </w:r>
          </w:p>
        </w:tc>
        <w:tc>
          <w:tcPr>
            <w:tcW w:w="28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75"/>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6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r>
      <w:tr>
        <w:trPr>
          <w:trHeight w:val="196"/>
        </w:trPr>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Fax: ( 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77"/>
              </w:rPr>
              <w:t>)  </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424" w:hanging="424"/>
        <w:spacing w:after="0"/>
        <w:tabs>
          <w:tab w:leader="none" w:pos="424"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424" w:right="80" w:hanging="431"/>
        <w:spacing w:after="0" w:line="282" w:lineRule="auto"/>
        <w:rPr>
          <w:sz w:val="20"/>
          <w:szCs w:val="20"/>
          <w:color w:val="auto"/>
        </w:rPr>
      </w:pPr>
      <w:r>
        <w:rPr>
          <w:rFonts w:ascii="Times New Roman" w:cs="Times New Roman" w:eastAsia="Times New Roman" w:hAnsi="Times New Roman"/>
          <w:sz w:val="18"/>
          <w:szCs w:val="18"/>
          <w:color w:val="auto"/>
        </w:rPr>
        <w:t>15.1 The headings contained in this Agreement are for the convenience of reference only and shall not be used to interpret, explain or otherwise affect the meaning of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266" w:right="499" w:bottom="1440" w:gutter="0" w:footer="0" w:header="0"/>
        </w:sectPr>
      </w:pPr>
    </w:p>
    <w:bookmarkStart w:id="239" w:name="page240"/>
    <w:bookmarkEnd w:id="239"/>
    <w:p>
      <w:pPr>
        <w:ind w:left="420" w:right="18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15.2 The Parties agree to promptly execute such documents, or take such further actions, as are reasonably necessary or beneficial for performing the provisions or achieving the purposes hereof.</w:t>
      </w:r>
    </w:p>
    <w:p>
      <w:pPr>
        <w:spacing w:after="0" w:line="67" w:lineRule="exact"/>
        <w:rPr>
          <w:sz w:val="20"/>
          <w:szCs w:val="20"/>
          <w:color w:val="auto"/>
        </w:rPr>
      </w:pPr>
    </w:p>
    <w:p>
      <w:pPr>
        <w:jc w:val="both"/>
        <w:ind w:left="420" w:right="280" w:hanging="431"/>
        <w:spacing w:after="0" w:line="266" w:lineRule="auto"/>
        <w:rPr>
          <w:sz w:val="20"/>
          <w:szCs w:val="20"/>
          <w:color w:val="auto"/>
        </w:rPr>
      </w:pPr>
      <w:r>
        <w:rPr>
          <w:rFonts w:ascii="Times New Roman" w:cs="Times New Roman" w:eastAsia="Times New Roman" w:hAnsi="Times New Roman"/>
          <w:sz w:val="18"/>
          <w:szCs w:val="18"/>
          <w:color w:val="auto"/>
        </w:rPr>
        <w:t>15.3 The Parties confirm that this Agreement shall, upon its effectiveness, constitute the entire agreement and common understanding of the Parties with respect to the contents herein and fully supersede all prior verbal and/or written agreements and understandings between the Parties with respect to the contents herein.</w:t>
      </w:r>
    </w:p>
    <w:p>
      <w:pPr>
        <w:spacing w:after="0" w:line="81" w:lineRule="exact"/>
        <w:rPr>
          <w:sz w:val="20"/>
          <w:szCs w:val="20"/>
          <w:color w:val="auto"/>
        </w:rPr>
      </w:pPr>
    </w:p>
    <w:p>
      <w:pPr>
        <w:ind w:left="420" w:hanging="431"/>
        <w:spacing w:after="0" w:line="258" w:lineRule="auto"/>
        <w:rPr>
          <w:sz w:val="20"/>
          <w:szCs w:val="20"/>
          <w:color w:val="auto"/>
        </w:rPr>
      </w:pPr>
      <w:r>
        <w:rPr>
          <w:rFonts w:ascii="Times New Roman" w:cs="Times New Roman" w:eastAsia="Times New Roman" w:hAnsi="Times New Roman"/>
          <w:sz w:val="18"/>
          <w:szCs w:val="18"/>
          <w:color w:val="auto"/>
        </w:rPr>
        <w:t>15.4 If any one or more provisions of this Agreement is identified or judged by a court of competent jurisdiction or arbitration authority as void, invalid or unenforceable in any respect according to any laws or regulations, the validity, legality and enforceability of the other provisions hereof shall not be affected or impaired in any way. The Parties shall cease performing such void, invalid or unenforceable provisions and revise those void, invalid or unenforceable provisions only to the extent closest to the original intention thereof to recover its validity or enforceability for such specific facts and circumstances.</w:t>
      </w:r>
    </w:p>
    <w:p>
      <w:pPr>
        <w:spacing w:after="0" w:line="89" w:lineRule="exact"/>
        <w:rPr>
          <w:sz w:val="20"/>
          <w:szCs w:val="20"/>
          <w:color w:val="auto"/>
        </w:rPr>
      </w:pPr>
    </w:p>
    <w:p>
      <w:pPr>
        <w:ind w:left="420" w:right="300" w:hanging="431"/>
        <w:spacing w:after="0" w:line="282" w:lineRule="auto"/>
        <w:rPr>
          <w:sz w:val="20"/>
          <w:szCs w:val="20"/>
          <w:color w:val="auto"/>
        </w:rPr>
      </w:pPr>
      <w:r>
        <w:rPr>
          <w:rFonts w:ascii="Times New Roman" w:cs="Times New Roman" w:eastAsia="Times New Roman" w:hAnsi="Times New Roman"/>
          <w:sz w:val="18"/>
          <w:szCs w:val="18"/>
          <w:color w:val="auto"/>
        </w:rPr>
        <w:t>15.5 Any Party’s failure to exercise the rights under this Agreement in time shall not be deemed as its waiver of such rights and would not affect its future exercise of such rights.</w:t>
      </w:r>
    </w:p>
    <w:p>
      <w:pPr>
        <w:spacing w:after="0" w:line="67" w:lineRule="exact"/>
        <w:rPr>
          <w:sz w:val="20"/>
          <w:szCs w:val="20"/>
          <w:color w:val="auto"/>
        </w:rPr>
      </w:pPr>
    </w:p>
    <w:p>
      <w:pPr>
        <w:ind w:left="420" w:right="220" w:hanging="431"/>
        <w:spacing w:after="0" w:line="282" w:lineRule="auto"/>
        <w:rPr>
          <w:sz w:val="20"/>
          <w:szCs w:val="20"/>
          <w:color w:val="auto"/>
        </w:rPr>
      </w:pPr>
      <w:r>
        <w:rPr>
          <w:rFonts w:ascii="Times New Roman" w:cs="Times New Roman" w:eastAsia="Times New Roman" w:hAnsi="Times New Roman"/>
          <w:sz w:val="18"/>
          <w:szCs w:val="18"/>
          <w:color w:val="auto"/>
        </w:rPr>
        <w:t>15.6 Any obligations that are incurred or become due arising from this Agreement by the expiry or early termination of this Agreement shall survive the expiry or termination of this Agreement.</w:t>
      </w:r>
    </w:p>
    <w:p>
      <w:pPr>
        <w:spacing w:after="0" w:line="67" w:lineRule="exact"/>
        <w:rPr>
          <w:sz w:val="20"/>
          <w:szCs w:val="20"/>
          <w:color w:val="auto"/>
        </w:rPr>
      </w:pPr>
    </w:p>
    <w:p>
      <w:pPr>
        <w:ind w:left="420" w:right="300" w:hanging="431"/>
        <w:spacing w:after="0" w:line="266" w:lineRule="auto"/>
        <w:rPr>
          <w:sz w:val="20"/>
          <w:szCs w:val="20"/>
          <w:color w:val="auto"/>
        </w:rPr>
      </w:pPr>
      <w:r>
        <w:rPr>
          <w:rFonts w:ascii="Times New Roman" w:cs="Times New Roman" w:eastAsia="Times New Roman" w:hAnsi="Times New Roman"/>
          <w:sz w:val="18"/>
          <w:szCs w:val="18"/>
          <w:color w:val="auto"/>
        </w:rPr>
        <w:t>15.7 Any matters excluded in this Agreement shall be negotiated by the Parties. Any amendment and supplement to this Agreement and its exhibits shall be made by the Parties in writing. The amendment and supplement duly executed by each Party with respect to this Agreement and its exhibits are indispensable part of this Agreement and shall have the same legal effect as this Agreement.</w:t>
      </w:r>
    </w:p>
    <w:p>
      <w:pPr>
        <w:spacing w:after="0" w:line="81" w:lineRule="exact"/>
        <w:rPr>
          <w:sz w:val="20"/>
          <w:szCs w:val="20"/>
          <w:color w:val="auto"/>
        </w:rPr>
      </w:pPr>
    </w:p>
    <w:p>
      <w:pPr>
        <w:ind w:left="420" w:right="120" w:hanging="431"/>
        <w:spacing w:after="0" w:line="261" w:lineRule="auto"/>
        <w:rPr>
          <w:sz w:val="20"/>
          <w:szCs w:val="20"/>
          <w:color w:val="auto"/>
        </w:rPr>
      </w:pPr>
      <w:r>
        <w:rPr>
          <w:rFonts w:ascii="Times New Roman" w:cs="Times New Roman" w:eastAsia="Times New Roman" w:hAnsi="Times New Roman"/>
          <w:sz w:val="18"/>
          <w:szCs w:val="18"/>
          <w:color w:val="auto"/>
        </w:rPr>
        <w:t>15.8 Should the pledge registration authority require this Agreement to be re-signed or amended with respect to the pledge of the equity interest, the Parties shall use their respective best efforts to guarantee the validity and enforceability of this Agreement in good faith. Such re-signed or amended agreement shall be only used for the purposes of registration and filing at AIC and will not amend or supersede this Agreement. In case of any conflicts between such agreement and this Agreement, this Agreement shall prevail.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  This Agreement is written in Chinese and executed with three (3) originals with the same legal effect.</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by the Parties or their respective authorized representatives on the date first above written.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69951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240" w:name="page241"/>
    <w:bookmarkEnd w:id="240"/>
    <w:p>
      <w:pPr>
        <w:jc w:val="right"/>
        <w:ind w:right="34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page is execution page]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Pledgee: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-5080</wp:posOffset>
            </wp:positionV>
            <wp:extent cx="18281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4">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177101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5">
                      <a:extLst>
                        <a:ext uri="{28A0092B-C50C-407E-A947-70E740481C1C}"/>
                      </a:extLst>
                    </a:blip>
                    <a:srcRect/>
                    <a:stretch>
                      <a:fillRect/>
                    </a:stretch>
                  </pic:blipFill>
                  <pic:spPr bwMode="auto">
                    <a:xfrm>
                      <a:off x="0" y="0"/>
                      <a:ext cx="17710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Authorized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-19050</wp:posOffset>
            </wp:positionV>
            <wp:extent cx="10287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6">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(stamp)</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Pledgor: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-5080</wp:posOffset>
            </wp:positionV>
            <wp:extent cx="18281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7">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-7620</wp:posOffset>
            </wp:positionV>
            <wp:extent cx="17710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9">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schedule sets forth other major similar agreements the registrant entered into with each of its consolidated affiliated Chinese entities. Other than the information set forth below, there is no material difference between such other agreements and this exhibit.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120" w:type="dxa"/>
            <w:vAlign w:val="bottom"/>
            <w:tcBorders>
              <w:bottom w:val="single" w:sz="8" w:color="CCEEFF"/>
            </w:tcBorders>
          </w:tcPr>
          <w:p>
            <w:pPr>
              <w:spacing w:after="0"/>
              <w:rPr>
                <w:sz w:val="16"/>
                <w:szCs w:val="16"/>
                <w:color w:val="auto"/>
              </w:rPr>
            </w:pPr>
          </w:p>
        </w:tc>
        <w:tc>
          <w:tcPr>
            <w:tcW w:w="604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4"/>
                <w:szCs w:val="14"/>
                <w:b w:val="1"/>
                <w:bCs w:val="1"/>
                <w:color w:val="auto"/>
              </w:rPr>
              <w:t>Parties to the Pledge</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Execution Date</w:t>
            </w:r>
          </w:p>
        </w:tc>
        <w:tc>
          <w:tcPr>
            <w:tcW w:w="0" w:type="dxa"/>
            <w:vAlign w:val="bottom"/>
          </w:tcPr>
          <w:p>
            <w:pPr>
              <w:spacing w:after="0"/>
              <w:rPr>
                <w:sz w:val="1"/>
                <w:szCs w:val="1"/>
                <w:color w:val="auto"/>
              </w:rPr>
            </w:pPr>
          </w:p>
        </w:tc>
      </w:tr>
      <w:tr>
        <w:trPr>
          <w:trHeight w:val="191"/>
        </w:trPr>
        <w:tc>
          <w:tcPr>
            <w:tcW w:w="2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Pledgee: Ctrip Travel Network Technology (Shanghai) Co., Ltd.</w:t>
            </w:r>
          </w:p>
        </w:tc>
        <w:tc>
          <w:tcPr>
            <w:tcW w:w="18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December 14, 2015</w:t>
            </w:r>
          </w:p>
        </w:tc>
        <w:tc>
          <w:tcPr>
            <w:tcW w:w="0" w:type="dxa"/>
            <w:vAlign w:val="bottom"/>
          </w:tcPr>
          <w:p>
            <w:pPr>
              <w:spacing w:after="0"/>
              <w:rPr>
                <w:sz w:val="1"/>
                <w:szCs w:val="1"/>
                <w:color w:val="auto"/>
              </w:rPr>
            </w:pPr>
          </w:p>
        </w:tc>
      </w:tr>
      <w:tr>
        <w:trPr>
          <w:trHeight w:val="122"/>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140" w:type="dxa"/>
            <w:vAlign w:val="bottom"/>
            <w:gridSpan w:val="2"/>
            <w:vMerge w:val="continue"/>
            <w:shd w:val="clear" w:color="auto" w:fill="CCEEFF"/>
          </w:tcPr>
          <w:p>
            <w:pPr>
              <w:spacing w:after="0"/>
              <w:rPr>
                <w:sz w:val="10"/>
                <w:szCs w:val="10"/>
                <w:color w:val="auto"/>
              </w:rPr>
            </w:pPr>
          </w:p>
        </w:tc>
        <w:tc>
          <w:tcPr>
            <w:tcW w:w="1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 amended on April 9,</w:t>
            </w:r>
          </w:p>
        </w:tc>
        <w:tc>
          <w:tcPr>
            <w:tcW w:w="0" w:type="dxa"/>
            <w:vAlign w:val="bottom"/>
          </w:tcPr>
          <w:p>
            <w:pPr>
              <w:spacing w:after="0"/>
              <w:rPr>
                <w:sz w:val="1"/>
                <w:szCs w:val="1"/>
                <w:color w:val="auto"/>
              </w:rPr>
            </w:pPr>
          </w:p>
        </w:tc>
      </w:tr>
      <w:tr>
        <w:trPr>
          <w:trHeight w:val="94"/>
        </w:trPr>
        <w:tc>
          <w:tcPr>
            <w:tcW w:w="30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Ctrip Commerce Co., Ltd.</w:t>
            </w:r>
          </w:p>
        </w:tc>
        <w:tc>
          <w:tcPr>
            <w:tcW w:w="6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Pledgor: Maohua Sun</w:t>
            </w:r>
          </w:p>
        </w:tc>
        <w:tc>
          <w:tcPr>
            <w:tcW w:w="18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000" w:type="dxa"/>
            <w:vAlign w:val="bottom"/>
            <w:gridSpan w:val="2"/>
            <w:vMerge w:val="continue"/>
            <w:shd w:val="clear" w:color="auto" w:fill="CCEEFF"/>
          </w:tcPr>
          <w:p>
            <w:pPr>
              <w:spacing w:after="0"/>
              <w:rPr>
                <w:sz w:val="12"/>
                <w:szCs w:val="12"/>
                <w:color w:val="auto"/>
              </w:rPr>
            </w:pPr>
          </w:p>
        </w:tc>
        <w:tc>
          <w:tcPr>
            <w:tcW w:w="6140" w:type="dxa"/>
            <w:vAlign w:val="bottom"/>
            <w:gridSpan w:val="2"/>
            <w:vMerge w:val="continue"/>
            <w:shd w:val="clear" w:color="auto" w:fill="CCEEFF"/>
          </w:tcPr>
          <w:p>
            <w:pPr>
              <w:spacing w:after="0"/>
              <w:rPr>
                <w:sz w:val="12"/>
                <w:szCs w:val="12"/>
                <w:color w:val="auto"/>
              </w:rPr>
            </w:pPr>
          </w:p>
        </w:tc>
        <w:tc>
          <w:tcPr>
            <w:tcW w:w="18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1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Pledgee: Ctrip Travel Network Technology (Shanghai) Co., Ltd.</w:t>
            </w: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Pledgor: Bo Sun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8, 2021</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42" w:name="page243"/>
    <w:bookmarkEnd w:id="242"/>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32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w w:val="97"/>
              </w:rPr>
              <w:t>Exhibit 4.7</w:t>
            </w:r>
          </w:p>
        </w:tc>
      </w:tr>
      <w:tr>
        <w:trPr>
          <w:trHeight w:val="432"/>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4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r>
        <w:trPr>
          <w:trHeight w:val="391"/>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72"/>
              </w:rPr>
              <w:t>I,  </w:t>
            </w:r>
          </w:p>
        </w:tc>
        <w:tc>
          <w:tcPr>
            <w:tcW w:w="1076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            , citizen of the People’s Republic of China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PRC Identification Card No:                         (the “</w:t>
            </w:r>
            <w:r>
              <w:rPr>
                <w:rFonts w:ascii="Times New Roman" w:cs="Times New Roman" w:eastAsia="Times New Roman" w:hAnsi="Times New Roman"/>
                <w:sz w:val="18"/>
                <w:szCs w:val="18"/>
                <w:b w:val="1"/>
                <w:bCs w:val="1"/>
                <w:color w:val="auto"/>
              </w:rPr>
              <w:t>Authorizer</w:t>
            </w:r>
            <w:r>
              <w:rPr>
                <w:rFonts w:ascii="Times New Roman" w:cs="Times New Roman" w:eastAsia="Times New Roman" w:hAnsi="Times New Roman"/>
                <w:sz w:val="18"/>
                <w:szCs w:val="18"/>
                <w:color w:val="auto"/>
              </w:rPr>
              <w:t>”), issue this</w:t>
            </w:r>
          </w:p>
        </w:tc>
      </w:tr>
      <w:tr>
        <w:trPr>
          <w:trHeight w:val="20"/>
        </w:trPr>
        <w:tc>
          <w:tcPr>
            <w:tcW w:w="1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5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Power of Attorney (“</w:t>
            </w:r>
            <w:r>
              <w:rPr>
                <w:rFonts w:ascii="Times New Roman" w:cs="Times New Roman" w:eastAsia="Times New Roman" w:hAnsi="Times New Roman"/>
                <w:sz w:val="18"/>
                <w:szCs w:val="18"/>
                <w:b w:val="1"/>
                <w:bCs w:val="1"/>
                <w:color w:val="auto"/>
              </w:rPr>
              <w:t>POA</w:t>
            </w:r>
            <w:r>
              <w:rPr>
                <w:rFonts w:ascii="Times New Roman" w:cs="Times New Roman" w:eastAsia="Times New Roman" w:hAnsi="Times New Roman"/>
                <w:sz w:val="18"/>
                <w:szCs w:val="18"/>
                <w:color w:val="auto"/>
              </w:rPr>
              <w:t xml:space="preserve">”) on     </w:t>
            </w:r>
          </w:p>
        </w:tc>
        <w:tc>
          <w:tcPr>
            <w:tcW w:w="844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         . This POA shall take effect as of the date of execution.</w:t>
            </w:r>
          </w:p>
        </w:tc>
      </w:tr>
      <w:tr>
        <w:trPr>
          <w:trHeight w:val="453"/>
        </w:trPr>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WHEREAS:</w:t>
            </w: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8"/>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1076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the Authorizer holds ___% equity interest in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r>
      <w:tr>
        <w:trPr>
          <w:trHeight w:val="20"/>
        </w:trPr>
        <w:tc>
          <w:tcPr>
            <w:tcW w:w="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r>
      <w:tr>
        <w:trPr>
          <w:trHeight w:val="439"/>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23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xml:space="preserve">the Authorizer,                 </w:t>
            </w:r>
          </w:p>
        </w:tc>
        <w:tc>
          <w:tcPr>
            <w:tcW w:w="84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WFOE</w:t>
            </w:r>
            <w:r>
              <w:rPr>
                <w:rFonts w:ascii="Times New Roman" w:cs="Times New Roman" w:eastAsia="Times New Roman" w:hAnsi="Times New Roman"/>
                <w:sz w:val="18"/>
                <w:szCs w:val="18"/>
                <w:color w:val="auto"/>
              </w:rPr>
              <w:t>”) and the Company have entered into a series of contractual arrangements, including the</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7660" w:type="dxa"/>
            <w:vAlign w:val="bottom"/>
            <w:gridSpan w:val="5"/>
          </w:tcPr>
          <w:p>
            <w:pPr>
              <w:spacing w:after="0" w:line="20" w:lineRule="exact"/>
              <w:rPr>
                <w:sz w:val="1"/>
                <w:szCs w:val="1"/>
                <w:color w:val="auto"/>
              </w:rPr>
            </w:pPr>
          </w:p>
        </w:tc>
      </w:tr>
      <w:tr>
        <w:trPr>
          <w:trHeight w:val="218"/>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76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Loan Agreement, the Exclusive Call Option Agreement, the Equity Pledge Agreement and the Exclusive Technical Consulting and Services</w:t>
            </w:r>
          </w:p>
        </w:tc>
      </w:tr>
      <w:tr>
        <w:trPr>
          <w:trHeight w:val="234"/>
        </w:trPr>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Agreement; and</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225" w:lineRule="exact"/>
        <w:rPr>
          <w:sz w:val="20"/>
          <w:szCs w:val="20"/>
          <w:color w:val="auto"/>
        </w:rPr>
      </w:pPr>
    </w:p>
    <w:p>
      <w:pPr>
        <w:ind w:left="424" w:right="20" w:hanging="424"/>
        <w:spacing w:after="0" w:line="261" w:lineRule="auto"/>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guarantee the normal and continuous operations of the Company and the performance of the obligations under the abovementioned agreements by the Company and the Authorizer, the WFOE has requested the Authorizer to appoint the WFOE as its attorney-in-fact, with full power of substitution, to exercise any and all of the rights in respect of Authorizer’s equity interests in the Company and the Authorizer has agreed to make such appointment.</w:t>
      </w:r>
    </w:p>
    <w:p>
      <w:pPr>
        <w:spacing w:after="0" w:line="180"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In consideration of the above, the Authorizer hereby irrevocably nominates, appoints and constitutes the WFOE or its designated person as its attorney—in-fact (“</w:t>
      </w:r>
      <w:r>
        <w:rPr>
          <w:rFonts w:ascii="Times New Roman" w:cs="Times New Roman" w:eastAsia="Times New Roman" w:hAnsi="Times New Roman"/>
          <w:sz w:val="18"/>
          <w:szCs w:val="18"/>
          <w:b w:val="1"/>
          <w:bCs w:val="1"/>
          <w:color w:val="auto"/>
        </w:rPr>
        <w:t>Attorney-in-Fact</w:t>
      </w:r>
      <w:r>
        <w:rPr>
          <w:rFonts w:ascii="Times New Roman" w:cs="Times New Roman" w:eastAsia="Times New Roman" w:hAnsi="Times New Roman"/>
          <w:sz w:val="18"/>
          <w:szCs w:val="18"/>
          <w:color w:val="auto"/>
        </w:rPr>
        <w:t>,” including legal and natural person) to exercise on the Authorizer’s behalf any and all rights that the Authorizer has in respect of his/her equity interests in the Company conferred by relevant laws and regulations and the articles of association of the Company, including without limitation, the following rights (collectively, “</w:t>
      </w:r>
      <w:r>
        <w:rPr>
          <w:rFonts w:ascii="Times New Roman" w:cs="Times New Roman" w:eastAsia="Times New Roman" w:hAnsi="Times New Roman"/>
          <w:sz w:val="18"/>
          <w:szCs w:val="18"/>
          <w:b w:val="1"/>
          <w:bCs w:val="1"/>
          <w:color w:val="auto"/>
        </w:rPr>
        <w:t>Shareholder Rights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64" w:hanging="532"/>
        <w:spacing w:after="0"/>
        <w:tabs>
          <w:tab w:leader="none" w:pos="9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propose, call and attend the shareholders’ meetings of the Company;</w:t>
      </w:r>
    </w:p>
    <w:p>
      <w:pPr>
        <w:spacing w:after="0" w:line="25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notices about the holding of shareholders’ meetings and relevant procedures;</w:t>
      </w:r>
    </w:p>
    <w:p>
      <w:pPr>
        <w:spacing w:after="0" w:line="25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any and all written resolutions as a shareholder in the name and on behalf of the Authorizer;</w:t>
      </w:r>
    </w:p>
    <w:p>
      <w:pPr>
        <w:spacing w:after="0" w:line="252"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itself or by proxy on any matters discussed on shareholders’ meetings, including without limitation, the sale, transfer, mortgage, pledge or disposal of any or all of the assets of the Company;</w:t>
      </w:r>
    </w:p>
    <w:p>
      <w:pPr>
        <w:spacing w:after="0" w:line="18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transfer, pledge or otherwise dispose of any or all of the equity interests held by the Authorizer in the Company;</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243" w:name="page244"/>
    <w:bookmarkEnd w:id="243"/>
    <w:p>
      <w:pPr>
        <w:ind w:left="960" w:right="760" w:hanging="532"/>
        <w:spacing w:after="0" w:line="282" w:lineRule="auto"/>
        <w:tabs>
          <w:tab w:leader="none" w:pos="9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nominate, elect, designate, appoint or remove the directors, general manager, finance controller and other senior officers of the Company;</w:t>
      </w:r>
    </w:p>
    <w:p>
      <w:pPr>
        <w:spacing w:after="0" w:line="188"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oversee the economic performance of the Company, to approve annual budgets of the Company or declare dividends, and to have full access to the financial information of the Company at any time;</w:t>
      </w:r>
    </w:p>
    <w:p>
      <w:pPr>
        <w:spacing w:after="0" w:line="188"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any shareholder lawsuits or take other legal actions against the Company’s directors or senior management members when such directors or members are acting to the detriment of the interest of the Company or its shareholder(s); and</w:t>
      </w:r>
    </w:p>
    <w:p>
      <w:pPr>
        <w:spacing w:after="0" w:line="1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conferred on the shareholder by the articles of association of the Company or relevant laws and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Authorizer further agrees and undertakes that:</w:t>
      </w:r>
    </w:p>
    <w:p>
      <w:pPr>
        <w:spacing w:after="0" w:line="252" w:lineRule="exact"/>
        <w:rPr>
          <w:sz w:val="20"/>
          <w:szCs w:val="20"/>
          <w:color w:val="auto"/>
        </w:rPr>
      </w:pPr>
    </w:p>
    <w:p>
      <w:pPr>
        <w:ind w:left="960" w:right="140" w:hanging="532"/>
        <w:spacing w:after="0" w:line="266" w:lineRule="auto"/>
        <w:tabs>
          <w:tab w:leader="none" w:pos="9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Authorizer hereby authorizes the Attorney-in-Fact to exercise the Shareholder Rights at its sole discretion without any need to obtain any oral or written instructions from the Authorizer; and, without the WFOE’s prior written consent, the Authorizer shall not exercise any of the Shareholder Rights;</w:t>
      </w:r>
    </w:p>
    <w:p>
      <w:pPr>
        <w:spacing w:after="0" w:line="202"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WFOE has the right to appoint, at its sole discretion, a substitute or substitutes to perform any or all of its rights of the Attorney-in-Fact under this POA, and to revoke the appointment of such substitute or substitutes at its sole discretion;</w:t>
      </w:r>
    </w:p>
    <w:p>
      <w:pPr>
        <w:spacing w:after="0" w:line="188" w:lineRule="exact"/>
        <w:rPr>
          <w:rFonts w:ascii="Times New Roman" w:cs="Times New Roman" w:eastAsia="Times New Roman" w:hAnsi="Times New Roman"/>
          <w:sz w:val="18"/>
          <w:szCs w:val="18"/>
          <w:color w:val="auto"/>
        </w:rPr>
      </w:pPr>
    </w:p>
    <w:p>
      <w:pPr>
        <w:ind w:left="960" w:right="140" w:hanging="532"/>
        <w:spacing w:after="0" w:line="255" w:lineRule="auto"/>
        <w:tabs>
          <w:tab w:leader="none" w:pos="9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Authorizer’s equity interest in the Company increases, whether by equity interest transfer or increase of the Company’s registered capital, any such additional equity interests acquired by the Authorizer through equity transfer or the equity interests corresponding to the increased part of the registered capital shall be automatically subject to this POA and the Attorney-in-Fact shall have the right to exercise the Shareholder Rights with respect to such additional equity interests on behalf of the Authorizer; if any person acquires the Company’s equity interests, whether by voluntary transfer, judicial sale, foreclosure sale or otherwise, any such equity interest in the Company so transferred remains subject to this POA and the Attorney-in-Fact shall continue to have the right to exercise the Shareholder Rights with respect to such equity interest in the Company so transferred.</w:t>
      </w:r>
    </w:p>
    <w:p>
      <w:pPr>
        <w:spacing w:after="0" w:line="215" w:lineRule="exact"/>
        <w:rPr>
          <w:rFonts w:ascii="Times New Roman" w:cs="Times New Roman" w:eastAsia="Times New Roman" w:hAnsi="Times New Roman"/>
          <w:sz w:val="18"/>
          <w:szCs w:val="18"/>
          <w:color w:val="auto"/>
        </w:rPr>
      </w:pPr>
    </w:p>
    <w:p>
      <w:pPr>
        <w:ind w:left="960" w:hanging="532"/>
        <w:spacing w:after="0" w:line="254" w:lineRule="auto"/>
        <w:tabs>
          <w:tab w:leader="none" w:pos="9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any doubt, if any equity transfer is contemplated under the Loan Agreement, the Exclusive Call Option Agreement and the Equity Pledge Agreement (including any and all subsequent amendments and supplements thereto) entered into by the Authorizer for the benefits of the WFOE or any of its affiliates, the Attorney-in-Fact shall, on behalf of the Authorizer, have the right to sign the equity transfer agreement and other relevant agreements and to perform all the shareholders’ obligations under the Loan Agreement, the Exclusive Call Option Agreement and the Equity Pledge Agreement. If required by the WFOE, the Authorizer shall sign any documents and fix the common chops and/or seals thereupon and the Authorizer shall take any other action as necessary for purposes of consummation of the aforesaid equity transfer. The Authorizer shall ensure that such equity transfer be consummated and cause any transferee to sign a power of attorney with the WFOE substantially the same as this POA;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44" w:name="page245"/>
    <w:bookmarkEnd w:id="244"/>
    <w:p>
      <w:pPr>
        <w:ind w:left="960" w:right="60" w:hanging="532"/>
        <w:spacing w:after="0" w:line="261" w:lineRule="auto"/>
        <w:tabs>
          <w:tab w:leader="none" w:pos="9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WFOE may, at its sole discretion, request the Authorizer at any time with a written notice to execute a new power of attorney substantially the same as this POA, authorizing the person designated by the WFOE as the Attorney-in-Fact to exercise any and all rights to which the Authorizer is entitled by relevant laws and regulations and the Company’s articles of association with respect to the equity interest held by the Authorizer in the Company.</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POA shall be duly executed by the Authorizer. This POA shall become effective as of the date of execution specified herein, and shall remain effective as long as the Company exists. The Authorizer does not have rights to terminate or amend this POA or revoke the appointment of the Attorney-in-Fact without prior written consent from the WFOE. This POA shall be equally binding upon the respective inheritors, successors and assigns of the Parties.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45" w:name="page246"/>
    <w:bookmarkEnd w:id="245"/>
    <w:p>
      <w:pPr>
        <w:ind w:left="3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page is the execution page]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Authorizer: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-7620</wp:posOffset>
            </wp:positionV>
            <wp:extent cx="15995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7">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9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-7620</wp:posOffset>
            </wp:positionV>
            <wp:extent cx="17367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9">
                      <a:extLst>
                        <a:ext uri="{28A0092B-C50C-407E-A947-70E740481C1C}"/>
                      </a:extLst>
                    </a:blip>
                    <a:srcRect/>
                    <a:stretch>
                      <a:fillRect/>
                    </a:stretch>
                  </pic:blipFill>
                  <pic:spPr bwMode="auto">
                    <a:xfrm>
                      <a:off x="0" y="0"/>
                      <a:ext cx="1736725" cy="8255"/>
                    </a:xfrm>
                    <a:prstGeom prst="rect">
                      <a:avLst/>
                    </a:prstGeom>
                    <a:noFill/>
                  </pic:spPr>
                </pic:pic>
              </a:graphicData>
            </a:graphic>
          </wp:anchor>
        </w:drawing>
      </w:r>
    </w:p>
    <w:p>
      <w:pPr>
        <w:sectPr>
          <w:pgSz w:w="11900" w:h="16838" w:orient="portrait"/>
          <w:cols w:equalWidth="0" w:num="1">
            <w:col w:w="9540"/>
          </w:cols>
          <w:pgMar w:left="1440" w:top="270" w:right="91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schedule sets forth other major similar agreements the registrant entered into with each of its consolidated affiliated Chinese entities. Other than the information set forth below, there is no material difference between such other agreements and this exhibit.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VIE</w:t>
            </w:r>
          </w:p>
        </w:tc>
        <w:tc>
          <w:tcPr>
            <w:tcW w:w="7340" w:type="dxa"/>
            <w:vAlign w:val="bottom"/>
          </w:tcPr>
          <w:p>
            <w:pPr>
              <w:spacing w:after="0"/>
              <w:rPr>
                <w:sz w:val="16"/>
                <w:szCs w:val="16"/>
                <w:color w:val="auto"/>
              </w:rPr>
            </w:pP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16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Execution Date</w:t>
            </w:r>
          </w:p>
        </w:tc>
      </w:tr>
      <w:tr>
        <w:trPr>
          <w:trHeight w:val="185"/>
        </w:trPr>
        <w:tc>
          <w:tcPr>
            <w:tcW w:w="760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Shanghai Ctrip Commerce Co., Ltd.</w:t>
            </w:r>
          </w:p>
        </w:tc>
        <w:tc>
          <w:tcPr>
            <w:tcW w:w="1660" w:type="dxa"/>
            <w:vAlign w:val="bottom"/>
            <w:tcBorders>
              <w:top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Maohua Sun</w:t>
            </w:r>
          </w:p>
        </w:tc>
        <w:tc>
          <w:tcPr>
            <w:tcW w:w="1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December 14, 2015</w:t>
            </w:r>
          </w:p>
        </w:tc>
      </w:tr>
      <w:tr>
        <w:trPr>
          <w:trHeight w:val="248"/>
        </w:trPr>
        <w:tc>
          <w:tcPr>
            <w:tcW w:w="260" w:type="dxa"/>
            <w:vAlign w:val="bottom"/>
            <w:shd w:val="clear" w:color="auto" w:fill="CCEEFF"/>
          </w:tcPr>
          <w:p>
            <w:pPr>
              <w:spacing w:after="0"/>
              <w:rPr>
                <w:sz w:val="21"/>
                <w:szCs w:val="21"/>
                <w:color w:val="auto"/>
              </w:rPr>
            </w:pPr>
          </w:p>
        </w:tc>
        <w:tc>
          <w:tcPr>
            <w:tcW w:w="73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 Sun</w:t>
            </w: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8, 2021</w:t>
            </w:r>
          </w:p>
        </w:tc>
      </w:tr>
      <w:tr>
        <w:trPr>
          <w:trHeight w:val="270"/>
        </w:trPr>
        <w:tc>
          <w:tcPr>
            <w:tcW w:w="260" w:type="dxa"/>
            <w:vAlign w:val="bottom"/>
            <w:tcBorders>
              <w:bottom w:val="single" w:sz="8" w:color="auto"/>
            </w:tcBorders>
          </w:tcPr>
          <w:p>
            <w:pPr>
              <w:spacing w:after="0"/>
              <w:rPr>
                <w:sz w:val="23"/>
                <w:szCs w:val="23"/>
                <w:color w:val="auto"/>
              </w:rPr>
            </w:pPr>
          </w:p>
        </w:tc>
        <w:tc>
          <w:tcPr>
            <w:tcW w:w="73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6" w:right="4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4.20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GLOBAL SHARE INCENTIVE PLAN</w:t>
      </w:r>
    </w:p>
    <w:p>
      <w:pPr>
        <w:spacing w:after="0" w:line="20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purpose of this Third Amended and Restated Global Share Incentive Plan (the “Plan”) is to promote the success and enhance the value of Trip.com Group Limited, an exempted company formed under the laws of the Cayman Islands (the “Company”) by linking the personal interests of the members of the Board, Employees, and Consultants to those of the shareholders of the Company and by providing such individuals with an incentive for outstanding performance to generate superior returns to the shareholders of the Company.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 The Plan amends and restates the previously adopted Global Share Incentive Plan of the Company, as amended and restated in July 2018 and further amended and restated in December 2019 (the “Global Share Incentive Plan”), in its entirety and assumes all awards granted under the Global Share Incentive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CONSTRUCTION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singular pronoun shall include the plural where the context so indicates.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2007 Share Incentive Plan</w:t>
      </w:r>
      <w:r>
        <w:rPr>
          <w:rFonts w:ascii="Times New Roman" w:cs="Times New Roman" w:eastAsia="Times New Roman" w:hAnsi="Times New Roman"/>
          <w:sz w:val="18"/>
          <w:szCs w:val="18"/>
          <w:color w:val="auto"/>
        </w:rPr>
        <w:t>” means the 2007 Share Incentive Plan, as amended and restated as of November 17, 2008,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right="320" w:firstLine="991"/>
        <w:spacing w:after="0" w:line="289"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Applicable Laws</w:t>
      </w:r>
      <w:r>
        <w:rPr>
          <w:rFonts w:ascii="Times New Roman" w:cs="Times New Roman" w:eastAsia="Times New Roman" w:hAnsi="Times New Roman"/>
          <w:sz w:val="17"/>
          <w:szCs w:val="17"/>
          <w:color w:val="auto"/>
        </w:rPr>
        <w:t>” means the legal requirements relating to the Plan and the Awards under applicable provisions of the corporate and securities laws of the Cayman Islands, the Code, the PRC tax laws, rules, regulations and government orders, the rules of any applicable Share exchange or national market system, and the laws and the rules of any jurisdiction applicable to Awards granted to residents therein.</w:t>
      </w:r>
    </w:p>
    <w:p>
      <w:pPr>
        <w:spacing w:after="0" w:line="158"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Applicable Accounting Standards</w:t>
      </w:r>
      <w:r>
        <w:rPr>
          <w:rFonts w:ascii="Times New Roman" w:cs="Times New Roman" w:eastAsia="Times New Roman" w:hAnsi="Times New Roman"/>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76"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Option, a Restricted Share award, a Restricted Share Unit award, a Share Appreciation Right award, a Dividend Equivalents award, a Share Payment award, or a Deferred Share award, granted to a Participant pursuant to the Plan or any other types of award as designed and approved from time to time by the Committee or the Board, as the case may be, pursuant to Article XII of the Plan in compliance with Applicable Laws.</w:t>
      </w:r>
    </w:p>
    <w:p>
      <w:pPr>
        <w:spacing w:after="0" w:line="180"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any written agreement, contract, or other instrument or document evidencing an Award, including through electronic medium.</w:t>
      </w:r>
    </w:p>
    <w:p>
      <w:pPr>
        <w:sectPr>
          <w:pgSz w:w="11900" w:h="16838" w:orient="portrait"/>
          <w:cols w:equalWidth="0" w:num="1">
            <w:col w:w="11020"/>
          </w:cols>
          <w:pgMar w:left="440" w:top="117" w:right="439" w:bottom="1440" w:gutter="0" w:footer="0" w:header="0"/>
        </w:sectPr>
      </w:pPr>
    </w:p>
    <w:bookmarkStart w:id="248" w:name="page249"/>
    <w:bookmarkEnd w:id="2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2.6 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change in ownership or control of the Company effected through either of the following transactions:</w:t>
      </w:r>
    </w:p>
    <w:p>
      <w:pPr>
        <w:spacing w:after="0" w:line="225"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(a)  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which a majority of the Incumbent Board (as defined below) who are not affiliates or associates of the offeror under Rule 12b-2 promulgated under the Exchange Act do not recommend such shareholders accept, or</w:t>
      </w:r>
    </w:p>
    <w:p>
      <w:pPr>
        <w:spacing w:after="0" w:line="187"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(b)  the individuals who, as of the Effective Date, are members of the Board (the “Incumbent Board”), cease for any reason to constitute at least fifty percent (50%) of the Board; provided that if the election, or nomination for election by the Company’s shareholders, of any new member of the Board is approved by a vote of at least fifty percent (50%) of the Incumbent Board, such new member of the Board shall be considered as a member of the Incumbent Board.</w:t>
      </w:r>
    </w:p>
    <w:p>
      <w:pPr>
        <w:spacing w:after="0" w:line="180"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with respect to a Participant means (unless otherwise expressly provided in the applicable Award Agreement, or another applicable contract with the Participant that defines such term for purposes of determining the effect that a “for cause” termination has on the Participant’s Awards) a termination of employment or service based upon a finding by the Service Recipient, acting in good faith and based on its reasonable belief at the time, that the Participant:</w:t>
      </w:r>
    </w:p>
    <w:p>
      <w:pPr>
        <w:spacing w:after="0" w:line="180" w:lineRule="exact"/>
        <w:rPr>
          <w:sz w:val="20"/>
          <w:szCs w:val="20"/>
          <w:color w:val="auto"/>
        </w:rPr>
      </w:pPr>
    </w:p>
    <w:p>
      <w:pPr>
        <w:ind w:firstLine="1432"/>
        <w:spacing w:after="0" w:line="282" w:lineRule="auto"/>
        <w:rPr>
          <w:sz w:val="20"/>
          <w:szCs w:val="20"/>
          <w:color w:val="auto"/>
        </w:rPr>
      </w:pPr>
      <w:r>
        <w:rPr>
          <w:rFonts w:ascii="Times New Roman" w:cs="Times New Roman" w:eastAsia="Times New Roman" w:hAnsi="Times New Roman"/>
          <w:sz w:val="18"/>
          <w:szCs w:val="18"/>
          <w:color w:val="auto"/>
        </w:rPr>
        <w:t>(a)  has been negligent in the discharge of his or her duties to the Service Recipient, has refused to perform stated or assigned duties or is incompetent in or (other than by reason of a disability or analogous condition) incapable of performing those duties;</w:t>
      </w:r>
    </w:p>
    <w:p>
      <w:pPr>
        <w:spacing w:after="0" w:line="162" w:lineRule="exact"/>
        <w:rPr>
          <w:sz w:val="20"/>
          <w:szCs w:val="20"/>
          <w:color w:val="auto"/>
        </w:rPr>
      </w:pPr>
    </w:p>
    <w:p>
      <w:pPr>
        <w:ind w:right="220" w:firstLine="1432"/>
        <w:spacing w:after="0" w:line="266" w:lineRule="auto"/>
        <w:rPr>
          <w:sz w:val="20"/>
          <w:szCs w:val="20"/>
          <w:color w:val="auto"/>
        </w:rPr>
      </w:pPr>
      <w:r>
        <w:rPr>
          <w:rFonts w:ascii="Times New Roman" w:cs="Times New Roman" w:eastAsia="Times New Roman" w:hAnsi="Times New Roman"/>
          <w:sz w:val="18"/>
          <w:szCs w:val="18"/>
          <w:color w:val="auto"/>
        </w:rPr>
        <w:t>(b)  has been dishonest or committed or engaged in an act of theft, embezzlement or fraud, a breach of confidentiality, an unauthorized disclosure or use of inside information, customer lists, trade secrets or other confidential information, or physical and emotional harm to any person;</w:t>
      </w:r>
    </w:p>
    <w:p>
      <w:pPr>
        <w:spacing w:after="0" w:line="176" w:lineRule="exact"/>
        <w:rPr>
          <w:sz w:val="20"/>
          <w:szCs w:val="20"/>
          <w:color w:val="auto"/>
        </w:rPr>
      </w:pPr>
    </w:p>
    <w:p>
      <w:pPr>
        <w:ind w:right="140" w:firstLine="1432"/>
        <w:spacing w:after="0" w:line="266" w:lineRule="auto"/>
        <w:rPr>
          <w:sz w:val="20"/>
          <w:szCs w:val="20"/>
          <w:color w:val="auto"/>
        </w:rPr>
      </w:pPr>
      <w:r>
        <w:rPr>
          <w:rFonts w:ascii="Times New Roman" w:cs="Times New Roman" w:eastAsia="Times New Roman" w:hAnsi="Times New Roman"/>
          <w:sz w:val="18"/>
          <w:szCs w:val="18"/>
          <w:color w:val="auto"/>
        </w:rPr>
        <w:t>(c)  has breached a fiduciary duty, or willfully and materially violated any other duty, law, rule, regulation or policy of the Service Recipient; or has been convicted of, or plead guilty or nolo contendere to, a felony or misdemeanor (other than minor traffic violations or similar offenses);</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   has materially breached any of the provisions of any agreement with the Service Recipient;</w:t>
      </w:r>
    </w:p>
    <w:p>
      <w:pPr>
        <w:spacing w:after="0" w:line="225" w:lineRule="exact"/>
        <w:rPr>
          <w:sz w:val="20"/>
          <w:szCs w:val="20"/>
          <w:color w:val="auto"/>
        </w:rPr>
      </w:pPr>
    </w:p>
    <w:p>
      <w:pPr>
        <w:ind w:right="320" w:firstLine="1432"/>
        <w:spacing w:after="0" w:line="282" w:lineRule="auto"/>
        <w:rPr>
          <w:sz w:val="20"/>
          <w:szCs w:val="20"/>
          <w:color w:val="auto"/>
        </w:rPr>
      </w:pPr>
      <w:r>
        <w:rPr>
          <w:rFonts w:ascii="Times New Roman" w:cs="Times New Roman" w:eastAsia="Times New Roman" w:hAnsi="Times New Roman"/>
          <w:sz w:val="18"/>
          <w:szCs w:val="18"/>
          <w:color w:val="auto"/>
        </w:rPr>
        <w:t>(e)  has engaged in unfair competition with, or otherwise acted intentionally in a manner injurious to the reputation, business or assets of, the Service Recipient; or</w:t>
      </w:r>
    </w:p>
    <w:p>
      <w:pPr>
        <w:spacing w:after="0" w:line="162" w:lineRule="exact"/>
        <w:rPr>
          <w:sz w:val="20"/>
          <w:szCs w:val="20"/>
          <w:color w:val="auto"/>
        </w:rPr>
      </w:pPr>
    </w:p>
    <w:p>
      <w:pPr>
        <w:ind w:right="580" w:firstLine="1432"/>
        <w:spacing w:after="0" w:line="282" w:lineRule="auto"/>
        <w:rPr>
          <w:sz w:val="20"/>
          <w:szCs w:val="20"/>
          <w:color w:val="auto"/>
        </w:rPr>
      </w:pPr>
      <w:r>
        <w:rPr>
          <w:rFonts w:ascii="Times New Roman" w:cs="Times New Roman" w:eastAsia="Times New Roman" w:hAnsi="Times New Roman"/>
          <w:sz w:val="18"/>
          <w:szCs w:val="18"/>
          <w:color w:val="auto"/>
        </w:rPr>
        <w:t>(f)  has improperly induced a vendor or customer to break or terminate any contract with the Service Recipient or induced a principal for whom the Service Recipient acts as agent to terminate such agency relationship.</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49" w:name="page250"/>
    <w:bookmarkEnd w:id="249"/>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termination for Cause shall be deemed to occur (subject to reinstatement upon a contrary final determination by the Committee) on the date on which the Service Recipient first delivers written notice to the Participant of a finding of termination for Cause.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of the United States, as amended.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of the Board described in Article XII.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consultant or adviser if: (a) the consultant or adviser renders bona fide services to a Service Recipient;</w:t>
      </w:r>
    </w:p>
    <w:p>
      <w:pPr>
        <w:spacing w:after="0" w:line="27" w:lineRule="exact"/>
        <w:rPr>
          <w:sz w:val="20"/>
          <w:szCs w:val="20"/>
          <w:color w:val="auto"/>
        </w:rPr>
      </w:pPr>
    </w:p>
    <w:p>
      <w:pPr>
        <w:ind w:left="4" w:hanging="4"/>
        <w:spacing w:after="0" w:line="255" w:lineRule="auto"/>
        <w:tabs>
          <w:tab w:leader="none" w:pos="25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186"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means any of the following transactions, provided, however, that the Committee shall determine under (d) and (e) whether multiple transactions are related, and its determination shall be final, binding and conclusive:</w:t>
      </w:r>
    </w:p>
    <w:p>
      <w:pPr>
        <w:spacing w:after="0" w:line="162" w:lineRule="exact"/>
        <w:rPr>
          <w:sz w:val="20"/>
          <w:szCs w:val="20"/>
          <w:color w:val="auto"/>
        </w:rPr>
      </w:pPr>
    </w:p>
    <w:p>
      <w:pPr>
        <w:ind w:left="4" w:right="180" w:firstLine="1432"/>
        <w:spacing w:after="0" w:line="266" w:lineRule="auto"/>
        <w:rPr>
          <w:sz w:val="20"/>
          <w:szCs w:val="20"/>
          <w:color w:val="auto"/>
        </w:rPr>
      </w:pPr>
      <w:r>
        <w:rPr>
          <w:rFonts w:ascii="Times New Roman" w:cs="Times New Roman" w:eastAsia="Times New Roman" w:hAnsi="Times New Roman"/>
          <w:sz w:val="18"/>
          <w:szCs w:val="18"/>
          <w:color w:val="auto"/>
        </w:rPr>
        <w:t>(a)  an amalgamation, arrangement or consolidation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spacing w:after="0" w:line="176"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(b)   the sale, transfer or other disposition of all or substantially all of the assets of the Company;</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   the complete liquidation or dissolution of the Company;</w:t>
      </w:r>
    </w:p>
    <w:p>
      <w:pPr>
        <w:spacing w:after="0" w:line="225" w:lineRule="exact"/>
        <w:rPr>
          <w:sz w:val="20"/>
          <w:szCs w:val="20"/>
          <w:color w:val="auto"/>
        </w:rPr>
      </w:pPr>
    </w:p>
    <w:p>
      <w:pPr>
        <w:ind w:left="4" w:right="140" w:firstLine="1432"/>
        <w:spacing w:after="0" w:line="256" w:lineRule="auto"/>
        <w:rPr>
          <w:sz w:val="20"/>
          <w:szCs w:val="20"/>
          <w:color w:val="auto"/>
        </w:rPr>
      </w:pPr>
      <w:r>
        <w:rPr>
          <w:rFonts w:ascii="Times New Roman" w:cs="Times New Roman" w:eastAsia="Times New Roman" w:hAnsi="Times New Roman"/>
          <w:sz w:val="18"/>
          <w:szCs w:val="18"/>
          <w:color w:val="auto"/>
        </w:rPr>
        <w:t>(d)  any reverse takeover or series of related transactions culminating in a reverse takeover (including, but not limited to, a tender offer followed by a reverse takeover) in which the Company is the surviving entity but (A) the Ordinary Shares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187" w:lineRule="exact"/>
        <w:rPr>
          <w:sz w:val="20"/>
          <w:szCs w:val="20"/>
          <w:color w:val="auto"/>
        </w:rPr>
      </w:pPr>
    </w:p>
    <w:p>
      <w:pPr>
        <w:ind w:left="4" w:firstLine="1432"/>
        <w:spacing w:after="0" w:line="261" w:lineRule="auto"/>
        <w:rPr>
          <w:sz w:val="20"/>
          <w:szCs w:val="20"/>
          <w:color w:val="auto"/>
        </w:rPr>
      </w:pPr>
      <w:r>
        <w:rPr>
          <w:rFonts w:ascii="Times New Roman" w:cs="Times New Roman" w:eastAsia="Times New Roman" w:hAnsi="Times New Roman"/>
          <w:sz w:val="18"/>
          <w:szCs w:val="18"/>
          <w:color w:val="auto"/>
        </w:rPr>
        <w:t>(e)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Deferred Share</w:t>
      </w:r>
      <w:r>
        <w:rPr>
          <w:rFonts w:ascii="Times New Roman" w:cs="Times New Roman" w:eastAsia="Times New Roman" w:hAnsi="Times New Roman"/>
          <w:sz w:val="18"/>
          <w:szCs w:val="18"/>
          <w:color w:val="auto"/>
        </w:rPr>
        <w:t>” means a right to receive a specified number of Shares during specified time periods pursuant to Section 9.3.</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250" w:name="page251"/>
    <w:bookmarkEnd w:id="250"/>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2.14 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spacing w:after="0" w:line="187"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means a right granted to a Participant pursuant to Section 9.1 to receive the equivalent value (in cash or Share) of dividends paid on Share.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Section 13.1.</w:t>
      </w:r>
    </w:p>
    <w:p>
      <w:pPr>
        <w:spacing w:after="0" w:line="225"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or member of the Board of the Company, any Parent, Subsidiary or Related Entity of the Company,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of the United States,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Shares determined as follows:</w:t>
      </w:r>
    </w:p>
    <w:p>
      <w:pPr>
        <w:spacing w:after="0" w:line="225" w:lineRule="exact"/>
        <w:rPr>
          <w:sz w:val="20"/>
          <w:szCs w:val="20"/>
          <w:color w:val="auto"/>
        </w:rPr>
      </w:pPr>
    </w:p>
    <w:p>
      <w:pPr>
        <w:ind w:right="120" w:firstLine="1432"/>
        <w:spacing w:after="0" w:line="256" w:lineRule="auto"/>
        <w:rPr>
          <w:sz w:val="20"/>
          <w:szCs w:val="20"/>
          <w:color w:val="auto"/>
        </w:rPr>
      </w:pPr>
      <w:r>
        <w:rPr>
          <w:rFonts w:ascii="Times New Roman" w:cs="Times New Roman" w:eastAsia="Times New Roman" w:hAnsi="Times New Roman"/>
          <w:sz w:val="18"/>
          <w:szCs w:val="18"/>
          <w:color w:val="auto"/>
        </w:rPr>
        <w:t>(a)  If the Shares are listed on one or more established stock exchanges or national market systems, including without limitation, The Nasdaq Global Select Market, The Nasdaq Global Market and Nasdaq Capital Market of The Nasdaq Stock Market, its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on the website maintained by such exchange or market system or such other source as the Committee deems reliable;</w:t>
      </w:r>
    </w:p>
    <w:p>
      <w:pPr>
        <w:spacing w:after="0" w:line="187" w:lineRule="exact"/>
        <w:rPr>
          <w:sz w:val="20"/>
          <w:szCs w:val="20"/>
          <w:color w:val="auto"/>
        </w:rPr>
      </w:pPr>
    </w:p>
    <w:p>
      <w:pPr>
        <w:ind w:right="40" w:firstLine="1432"/>
        <w:spacing w:after="0" w:line="258" w:lineRule="auto"/>
        <w:rPr>
          <w:sz w:val="20"/>
          <w:szCs w:val="20"/>
          <w:color w:val="auto"/>
        </w:rPr>
      </w:pPr>
      <w:r>
        <w:rPr>
          <w:rFonts w:ascii="Times New Roman" w:cs="Times New Roman" w:eastAsia="Times New Roman" w:hAnsi="Times New Roman"/>
          <w:sz w:val="18"/>
          <w:szCs w:val="18"/>
          <w:color w:val="auto"/>
        </w:rPr>
        <w:t>(b)  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183"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(c)  In the absence of an established market for the Shares of the type described in (a) and (b) above, the Fair Market Value thereof shall be determined by the Committee in good faith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transaction, (iii) an independent valuation of the Shares, or (iv) such other methodologies or information as the Committee determines to be indicative of Fair Market Value and relevant.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251" w:name="page252"/>
    <w:bookmarkEnd w:id="251"/>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2.20  “</w:t>
      </w:r>
      <w:r>
        <w:rPr>
          <w:rFonts w:ascii="Times New Roman" w:cs="Times New Roman" w:eastAsia="Times New Roman" w:hAnsi="Times New Roman"/>
          <w:sz w:val="18"/>
          <w:szCs w:val="18"/>
          <w:u w:val="single" w:color="auto"/>
          <w:color w:val="auto"/>
        </w:rPr>
        <w:t>Incentive Share Option</w:t>
      </w:r>
      <w:r>
        <w:rPr>
          <w:rFonts w:ascii="Times New Roman" w:cs="Times New Roman" w:eastAsia="Times New Roman" w:hAnsi="Times New Roman"/>
          <w:sz w:val="18"/>
          <w:szCs w:val="18"/>
          <w:color w:val="auto"/>
        </w:rPr>
        <w:t>” means an Option that is intended to meet the requirements of Section 422 of the Code or any successor provision thereto.</w:t>
      </w:r>
    </w:p>
    <w:p>
      <w:pPr>
        <w:spacing w:after="0" w:line="162" w:lineRule="exact"/>
        <w:rPr>
          <w:sz w:val="20"/>
          <w:szCs w:val="20"/>
          <w:color w:val="auto"/>
        </w:rPr>
      </w:pPr>
    </w:p>
    <w:p>
      <w:pPr>
        <w:ind w:left="4" w:right="60" w:firstLine="991"/>
        <w:spacing w:after="0" w:line="289" w:lineRule="auto"/>
        <w:rPr>
          <w:sz w:val="20"/>
          <w:szCs w:val="20"/>
          <w:color w:val="auto"/>
        </w:rPr>
      </w:pPr>
      <w:r>
        <w:rPr>
          <w:rFonts w:ascii="Times New Roman" w:cs="Times New Roman" w:eastAsia="Times New Roman" w:hAnsi="Times New Roman"/>
          <w:sz w:val="17"/>
          <w:szCs w:val="17"/>
          <w:color w:val="auto"/>
        </w:rPr>
        <w:t>2.21  “</w:t>
      </w:r>
      <w:r>
        <w:rPr>
          <w:rFonts w:ascii="Times New Roman" w:cs="Times New Roman" w:eastAsia="Times New Roman" w:hAnsi="Times New Roman"/>
          <w:sz w:val="17"/>
          <w:szCs w:val="17"/>
          <w:u w:val="single" w:color="auto"/>
          <w:color w:val="auto"/>
        </w:rPr>
        <w:t>Independent Director</w:t>
      </w:r>
      <w:r>
        <w:rPr>
          <w:rFonts w:ascii="Times New Roman" w:cs="Times New Roman" w:eastAsia="Times New Roman" w:hAnsi="Times New Roman"/>
          <w:sz w:val="17"/>
          <w:szCs w:val="17"/>
          <w:color w:val="auto"/>
        </w:rPr>
        <w:t>” means (i) if the Shares or other securities representing the Shares are not listed on a stock exchange, a member of the Board who is a Non-Employee Director; and (ii) if the Shares or other securities representing the Shares are listed on one or more stock exchanges, a member of the Board who meets the independence standards under the applicable corporate governance rules of the stock exchange(s).</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qualifies as a “Non-Employee Director” as defined in Rule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16b-3(b)(3) of the Exchange Act, or any successor definition adopted by the Board.</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Non-Qualified Share Option</w:t>
      </w:r>
      <w:r>
        <w:rPr>
          <w:rFonts w:ascii="Times New Roman" w:cs="Times New Roman" w:eastAsia="Times New Roman" w:hAnsi="Times New Roman"/>
          <w:sz w:val="18"/>
          <w:szCs w:val="18"/>
          <w:color w:val="auto"/>
        </w:rPr>
        <w:t>” means an Option that is not intended to be an Incentive Share Option.</w:t>
      </w:r>
    </w:p>
    <w:p>
      <w:pPr>
        <w:spacing w:after="0" w:line="225"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right granted to a Participant pursuant to Article V of the Plan to purchase a specified number of Shares at a specified price during specified time periods. An Option may be either an Incentive Share Option or a Non-Qualified Share Option.</w:t>
      </w:r>
    </w:p>
    <w:p>
      <w:pPr>
        <w:spacing w:after="0" w:line="162" w:lineRule="exact"/>
        <w:rPr>
          <w:sz w:val="20"/>
          <w:szCs w:val="20"/>
          <w:color w:val="auto"/>
        </w:rPr>
      </w:pPr>
    </w:p>
    <w:p>
      <w:pPr>
        <w:ind w:left="984"/>
        <w:spacing w:after="0"/>
        <w:tabs>
          <w:tab w:leader="none" w:pos="1504" w:val="left"/>
        </w:tabs>
        <w:rPr>
          <w:sz w:val="20"/>
          <w:szCs w:val="20"/>
          <w:color w:val="auto"/>
        </w:rPr>
      </w:pPr>
      <w:r>
        <w:rPr>
          <w:rFonts w:ascii="Times New Roman" w:cs="Times New Roman" w:eastAsia="Times New Roman" w:hAnsi="Times New Roman"/>
          <w:sz w:val="18"/>
          <w:szCs w:val="18"/>
          <w:color w:val="auto"/>
        </w:rPr>
        <w:t>2.25 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Original Effective Date</w:t>
      </w:r>
      <w:r>
        <w:rPr>
          <w:rFonts w:ascii="Times New Roman" w:cs="Times New Roman" w:eastAsia="Times New Roman" w:hAnsi="Times New Roman"/>
          <w:sz w:val="17"/>
          <w:szCs w:val="17"/>
          <w:color w:val="auto"/>
        </w:rPr>
        <w:t>” means the earlier of (1) June 16, 2017, when the Company’s 2007 Share Incentive Plan expired; or</w:t>
      </w:r>
    </w:p>
    <w:p>
      <w:pPr>
        <w:spacing w:after="0" w:line="27" w:lineRule="exact"/>
        <w:rPr>
          <w:sz w:val="20"/>
          <w:szCs w:val="20"/>
          <w:color w:val="auto"/>
        </w:rPr>
      </w:pPr>
    </w:p>
    <w:p>
      <w:pPr>
        <w:ind w:left="4" w:right="180" w:hanging="4"/>
        <w:spacing w:after="0" w:line="260" w:lineRule="auto"/>
        <w:tabs>
          <w:tab w:leader="none" w:pos="25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incentive share pool as stated under Section 3.1(a) of the 2007 Share Incentive Plan has been fully utilized and all incentive shares have been granted to eligible grantees.</w:t>
      </w:r>
    </w:p>
    <w:p>
      <w:pPr>
        <w:spacing w:after="0" w:line="181"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 person who, as a member of the Board, Consultant or Employee (including their respective Permitted Vehicles), has been granted an Award pursuant to the Plan.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under Section 424(e) of the Code.</w:t>
      </w:r>
    </w:p>
    <w:p>
      <w:pPr>
        <w:spacing w:after="0" w:line="225"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Permitted Vehicle</w:t>
      </w:r>
      <w:r>
        <w:rPr>
          <w:rFonts w:ascii="Times New Roman" w:cs="Times New Roman" w:eastAsia="Times New Roman" w:hAnsi="Times New Roman"/>
          <w:sz w:val="18"/>
          <w:szCs w:val="18"/>
          <w:color w:val="auto"/>
        </w:rPr>
        <w:t>” means, with respect to a natural person, any trust, partnership, limited liability company, corporation or other entity that is beneficially owned by, or that is formed and maintained for the benefit of, such person and/or one or more members of such person’s family.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2.29 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this Third Amended and Restated Global Share Incentive Plan, as may be further amended and/or restated from time</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means the People’s Republic of China.</w:t>
      </w:r>
    </w:p>
    <w:p>
      <w:pPr>
        <w:spacing w:after="0" w:line="225" w:lineRule="exact"/>
        <w:rPr>
          <w:sz w:val="20"/>
          <w:szCs w:val="20"/>
          <w:color w:val="auto"/>
        </w:rPr>
      </w:pPr>
    </w:p>
    <w:p>
      <w:pPr>
        <w:ind w:left="4" w:right="100" w:firstLine="991"/>
        <w:spacing w:after="0" w:line="312" w:lineRule="auto"/>
        <w:rPr>
          <w:sz w:val="20"/>
          <w:szCs w:val="20"/>
          <w:color w:val="auto"/>
        </w:rPr>
      </w:pPr>
      <w:r>
        <w:rPr>
          <w:rFonts w:ascii="Times New Roman" w:cs="Times New Roman" w:eastAsia="Times New Roman" w:hAnsi="Times New Roman"/>
          <w:sz w:val="17"/>
          <w:szCs w:val="17"/>
          <w:color w:val="auto"/>
        </w:rPr>
        <w:t>2.31  “</w:t>
      </w:r>
      <w:r>
        <w:rPr>
          <w:rFonts w:ascii="Times New Roman" w:cs="Times New Roman" w:eastAsia="Times New Roman" w:hAnsi="Times New Roman"/>
          <w:sz w:val="17"/>
          <w:szCs w:val="17"/>
          <w:u w:val="single" w:color="auto"/>
          <w:color w:val="auto"/>
        </w:rPr>
        <w:t>Related Entity</w:t>
      </w:r>
      <w:r>
        <w:rPr>
          <w:rFonts w:ascii="Times New Roman" w:cs="Times New Roman" w:eastAsia="Times New Roman" w:hAnsi="Times New Roman"/>
          <w:sz w:val="17"/>
          <w:szCs w:val="17"/>
          <w:color w:val="auto"/>
        </w:rPr>
        <w:t>” means any business, corporation, partnership, limited liability company or other entity which is not a Subsidiary but is consolidated in the Company’s consolidated financial statements prepared under the United States generally accepted accounting principles.</w:t>
      </w:r>
    </w:p>
    <w:p>
      <w:pPr>
        <w:spacing w:after="0" w:line="140"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Restricted Share</w:t>
      </w:r>
      <w:r>
        <w:rPr>
          <w:rFonts w:ascii="Times New Roman" w:cs="Times New Roman" w:eastAsia="Times New Roman" w:hAnsi="Times New Roman"/>
          <w:sz w:val="18"/>
          <w:szCs w:val="18"/>
          <w:color w:val="auto"/>
        </w:rPr>
        <w:t>” means a Share awarded to a Participant pursuant to Article VI that is subject to certain restrictions and may be subject to risk of forfeiture.</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4"/>
          </w:cols>
          <w:pgMar w:left="436" w:top="270" w:right="559" w:bottom="1440" w:gutter="0" w:footer="0" w:header="0"/>
        </w:sectPr>
      </w:pPr>
    </w:p>
    <w:bookmarkStart w:id="252" w:name="page253"/>
    <w:bookmarkEnd w:id="25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2.33   “</w:t>
      </w:r>
      <w:r>
        <w:rPr>
          <w:rFonts w:ascii="Times New Roman" w:cs="Times New Roman" w:eastAsia="Times New Roman" w:hAnsi="Times New Roman"/>
          <w:sz w:val="18"/>
          <w:szCs w:val="18"/>
          <w:u w:val="single" w:color="auto"/>
          <w:color w:val="auto"/>
        </w:rPr>
        <w:t>Restricted Share Unit</w:t>
      </w:r>
      <w:r>
        <w:rPr>
          <w:rFonts w:ascii="Times New Roman" w:cs="Times New Roman" w:eastAsia="Times New Roman" w:hAnsi="Times New Roman"/>
          <w:sz w:val="18"/>
          <w:szCs w:val="18"/>
          <w:color w:val="auto"/>
        </w:rPr>
        <w:t>” means an Award granted pursuant to Article VII.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of the United States, as amended.</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means the Company, any Parent or Subsidiary of the Company and any Related Entity to which a Participant provides services as an Employee, Consultant or as a Director.</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the ordinary share of the Company, par value US$0.01 per share, and such other securities of the Company that may be substituted for Shares pursuant to Article XI.</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Share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right granted pursuant to Article VIII to receive a payment equal to the excess of the Fair Market Value of a specified number of Shares on the date the SAR is exercised over the Fair Market Value on the date the SAR was granted as set forth in the applicable Award Agreement.</w:t>
      </w:r>
    </w:p>
    <w:p>
      <w:pPr>
        <w:spacing w:after="0" w:line="17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Share Payment</w:t>
      </w:r>
      <w:r>
        <w:rPr>
          <w:rFonts w:ascii="Times New Roman" w:cs="Times New Roman" w:eastAsia="Times New Roman" w:hAnsi="Times New Roman"/>
          <w:sz w:val="18"/>
          <w:szCs w:val="18"/>
          <w:color w:val="auto"/>
        </w:rPr>
        <w:t>” means (a) a payment in the form of Shares, or (b) an option or other right to purchase Shares, as part of any bonus, deferred compensation or other arrangement, made in lieu of all or any portion of the compensation, granted pursuant to Section 9.2.</w:t>
      </w:r>
    </w:p>
    <w:p>
      <w:pPr>
        <w:spacing w:after="0" w:line="162" w:lineRule="exact"/>
        <w:rPr>
          <w:sz w:val="20"/>
          <w:szCs w:val="20"/>
          <w:color w:val="auto"/>
        </w:rPr>
      </w:pPr>
    </w:p>
    <w:p>
      <w:pPr>
        <w:ind w:right="540" w:firstLine="991"/>
        <w:spacing w:after="0" w:line="266"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or other entity of which a majority of the outstanding voting shares or voting power is beneficially owned directly or indirectly by the Company, or an affiliated entity that the Company controls through contractual arrangements and consolidates the financial results according to the Applicable Accounting Standards.</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Trading Date</w:t>
      </w:r>
      <w:r>
        <w:rPr>
          <w:rFonts w:ascii="Times New Roman" w:cs="Times New Roman" w:eastAsia="Times New Roman" w:hAnsi="Times New Roman"/>
          <w:sz w:val="18"/>
          <w:szCs w:val="18"/>
          <w:color w:val="auto"/>
        </w:rPr>
        <w:t>” means the closing of the first sale to the general public of the Shares pursuant to a registration statement filed with and declared effective by the U.S. Securities and Exchange Commission under the Securities Act.</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SHARES SUBJECT TO THE PLAN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1432"/>
        <w:spacing w:after="0" w:line="258" w:lineRule="auto"/>
        <w:rPr>
          <w:sz w:val="20"/>
          <w:szCs w:val="20"/>
          <w:color w:val="auto"/>
        </w:rPr>
      </w:pPr>
      <w:r>
        <w:rPr>
          <w:rFonts w:ascii="Times New Roman" w:cs="Times New Roman" w:eastAsia="Times New Roman" w:hAnsi="Times New Roman"/>
          <w:sz w:val="18"/>
          <w:szCs w:val="18"/>
          <w:color w:val="auto"/>
        </w:rPr>
        <w:t>(a)  Subject to the provisions of Article XI and Section 3.1(b), the maximum aggregate number of Shares which may be issued pursuant to all Awards (including Incentive Share Options) is (i) 4,036,760 and (ii) an automatic increase on January 1 of each year commencing with the first January 1 after the Original Effective Date and ending on the tenth anniversary of the Original Effective Date equal to the least of (A) that number of Shares representing 3% of the then total issued and outstanding share capital of the Company as of December 31 of the preceding year or (B) such lesser number as the Board shall determine.</w:t>
      </w:r>
    </w:p>
    <w:p>
      <w:pPr>
        <w:spacing w:after="0" w:line="183" w:lineRule="exact"/>
        <w:rPr>
          <w:sz w:val="20"/>
          <w:szCs w:val="20"/>
          <w:color w:val="auto"/>
        </w:rPr>
      </w:pPr>
    </w:p>
    <w:p>
      <w:pPr>
        <w:ind w:right="80" w:firstLine="1432"/>
        <w:spacing w:after="0" w:line="254" w:lineRule="auto"/>
        <w:rPr>
          <w:sz w:val="20"/>
          <w:szCs w:val="20"/>
          <w:color w:val="auto"/>
        </w:rPr>
      </w:pPr>
      <w:r>
        <w:rPr>
          <w:rFonts w:ascii="Times New Roman" w:cs="Times New Roman" w:eastAsia="Times New Roman" w:hAnsi="Times New Roman"/>
          <w:sz w:val="18"/>
          <w:szCs w:val="18"/>
          <w:color w:val="auto"/>
        </w:rPr>
        <w:t>(b)  To the extent that an Award terminates, expires, or lapses for any reason, any Shares subject to the Award shall again be available for the grant of an Award pursuant to the Plan. To the extent permitted by Applicable Law or any exchange rule,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Section 3.1(a). If any Restricted Shares are forfeited by the Participant or repurchased by the Company, such Shares may again be optioned, granted or awarded hereunder, subject to the limitations of Section 3.1(a). Notwithstanding the provisions of this Section 3.1(b), no Shares may again be optioned, granted or awarded if such action would cause an Incentive Share Option to fail to qualify as an incentive share option under Section 422 of the Code.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53" w:name="page254"/>
    <w:bookmarkEnd w:id="253"/>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Shares Distributed</w:t>
      </w:r>
      <w:r>
        <w:rPr>
          <w:rFonts w:ascii="Times New Roman" w:cs="Times New Roman" w:eastAsia="Times New Roman" w:hAnsi="Times New Roman"/>
          <w:sz w:val="18"/>
          <w:szCs w:val="18"/>
          <w:color w:val="auto"/>
        </w:rPr>
        <w:t>. Any Shares distributed pursuant to an Award may consist, in whole or in part, of authorized and unissued Shares, treasury shares or Shares purchased on the open market. Additionally, at the discretion of the Committee, American Depositary Shares in an amount equal to the number of Shares which otherwise would be distributed pursuant to an Award may be distributed in lieu of Shares in settlement of any Award. If the number of Shares represented by an American Depositary Share is other than on a one-to-one basis, the limitations of Section 3.1 shall be adjusted to reflect the distribution of American Depositary Shares in lieu of Shares.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ELIGIBILITY AND PARTICIPATION</w:t>
      </w:r>
    </w:p>
    <w:p>
      <w:pPr>
        <w:spacing w:after="0" w:line="207"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Persons eligible to participate in this Plan include Employees, Consultants, and all members of the Board (and their respective Permitted Vehicles), as determined by the Committee.</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Subject to the provisions of the Plan, the Committee may, from time to time, select from among all eligible persons, those to whom Awards shall be granted and shall determine the nature and amount of each Award. No person shall have any right to be granted an Award pursuant to this Plan.</w:t>
      </w:r>
    </w:p>
    <w:p>
      <w:pPr>
        <w:spacing w:after="0" w:line="17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Jurisdictions</w:t>
      </w:r>
      <w:r>
        <w:rPr>
          <w:rFonts w:ascii="Times New Roman" w:cs="Times New Roman" w:eastAsia="Times New Roman" w:hAnsi="Times New Roman"/>
          <w:sz w:val="18"/>
          <w:szCs w:val="18"/>
          <w:color w:val="auto"/>
        </w:rPr>
        <w:t>.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provided, however,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Committee is authorized to grant Options to Participants on the following terms and conditions:</w:t>
      </w:r>
    </w:p>
    <w:p>
      <w:pPr>
        <w:spacing w:after="0" w:line="225"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subject to an Option shall be determined by the Committee and set forth in the Award Agreement which may be a fixed or variable price related to the Fair Market Value of the Shares. The exercise price per Share subject to an Option may be adjusted in the absolute discretion of the Committee, the determination of which shall be final, binding and conclusive. For the avoidance of doubt, to the extent not prohibited by Applicable Law or any exchange rule, a re-pricing of Options mentioned in the preceding sentence shall be effective without the approval of the Company’s shareholders or the approval of the Participants. Notwithstanding the foregoing, the exercise price per Share subject to an Option shall not be increased without the approval of the Participants.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54" w:name="page255"/>
    <w:bookmarkEnd w:id="254"/>
    <w:p>
      <w:pPr>
        <w:ind w:right="260" w:firstLine="143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Time and Conditions of Exercise</w:t>
      </w:r>
      <w:r>
        <w:rPr>
          <w:rFonts w:ascii="Times New Roman" w:cs="Times New Roman" w:eastAsia="Times New Roman" w:hAnsi="Times New Roman"/>
          <w:sz w:val="18"/>
          <w:szCs w:val="18"/>
          <w:color w:val="auto"/>
        </w:rPr>
        <w:t xml:space="preserve">. The Committee shall determine the time or times at which an Option may be exercised in whole or in part, including exercise prior to vesting;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 of any Option granted under the Plan shall not exceed ten years, except as provided in Section 10.2. The Committee shall also determine any conditions, if any, that must be satisfied before all or part of an Option may be exercised.</w:t>
      </w:r>
    </w:p>
    <w:p>
      <w:pPr>
        <w:spacing w:after="0" w:line="180"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The Committee shall determine the methods by which the exercise price of an Option may be paid, the form of payment, including, without limitation (i) to the extent permissible under the Applicable Laws, cash or check denominated in U.S. Dollars, (ii) cash or check in Chinese Renminbi, (iii) cash or check denominated in any other local currency as approved by the Committee, (iv) the delivery to the Company of Shares held for such period of time as may be required by the Committee in order to avoid adverse financial accounting consequences and having a Fair Market Value on the date of delivery equal to the aggregate exercise price of the Option or exercised portion thereof, (v)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payment of such proceeds is then made to the Company upon settlement of such sale, (vi) other property acceptable to the Committee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Fair Market Value equal to the exercise price,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spacing w:after="0" w:line="192" w:lineRule="exact"/>
        <w:rPr>
          <w:sz w:val="20"/>
          <w:szCs w:val="20"/>
          <w:color w:val="auto"/>
        </w:rPr>
      </w:pPr>
    </w:p>
    <w:p>
      <w:pPr>
        <w:ind w:right="34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Evidence of Grant</w:t>
      </w:r>
      <w:r>
        <w:rPr>
          <w:rFonts w:ascii="Times New Roman" w:cs="Times New Roman" w:eastAsia="Times New Roman" w:hAnsi="Times New Roman"/>
          <w:sz w:val="18"/>
          <w:szCs w:val="18"/>
          <w:color w:val="auto"/>
        </w:rPr>
        <w:t>. All Options shall be evidenced by an Award Agreement between the Company and the Participant. The Award Agreement shall include such additional provisions as may be specified by the Committee.</w:t>
      </w:r>
    </w:p>
    <w:p>
      <w:pPr>
        <w:spacing w:after="0" w:line="162" w:lineRule="exact"/>
        <w:rPr>
          <w:sz w:val="20"/>
          <w:szCs w:val="20"/>
          <w:color w:val="auto"/>
        </w:rPr>
      </w:pPr>
    </w:p>
    <w:p>
      <w:pPr>
        <w:ind w:right="14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Effects of Termination of Employment or Service on Options</w:t>
      </w:r>
      <w:r>
        <w:rPr>
          <w:rFonts w:ascii="Times New Roman" w:cs="Times New Roman" w:eastAsia="Times New Roman" w:hAnsi="Times New Roman"/>
          <w:sz w:val="18"/>
          <w:szCs w:val="18"/>
          <w:color w:val="auto"/>
        </w:rPr>
        <w:t>. Termination of employment or service shall have the following effects on Options granted to the Participants unless otherwise provided in the Award Agreement:</w:t>
      </w:r>
    </w:p>
    <w:p>
      <w:pPr>
        <w:spacing w:after="0" w:line="54" w:lineRule="exact"/>
        <w:rPr>
          <w:sz w:val="20"/>
          <w:szCs w:val="20"/>
          <w:color w:val="auto"/>
        </w:rPr>
      </w:pPr>
    </w:p>
    <w:p>
      <w:pPr>
        <w:ind w:left="440" w:right="60" w:firstLine="1375"/>
        <w:spacing w:after="0" w:line="266" w:lineRule="auto"/>
        <w:rPr>
          <w:sz w:val="20"/>
          <w:szCs w:val="20"/>
          <w:color w:val="auto"/>
        </w:rPr>
      </w:pPr>
      <w:r>
        <w:rPr>
          <w:rFonts w:ascii="Times New Roman" w:cs="Times New Roman" w:eastAsia="Times New Roman" w:hAnsi="Times New Roman"/>
          <w:sz w:val="18"/>
          <w:szCs w:val="18"/>
          <w:color w:val="auto"/>
        </w:rPr>
        <w:t>(i)  Dismissal for Cause. Unless otherwise provided in the Award Agreement, if a Participant’s employment by or service to the Service Recipient is terminated by the Service Recipient for Cause, the Participant’s Options will terminate upon such termination, whether or not the Option is then vested and/or exercisable;</w:t>
      </w:r>
    </w:p>
    <w:p>
      <w:pPr>
        <w:spacing w:after="0" w:line="68" w:lineRule="exact"/>
        <w:rPr>
          <w:sz w:val="20"/>
          <w:szCs w:val="20"/>
          <w:color w:val="auto"/>
        </w:rPr>
      </w:pPr>
    </w:p>
    <w:p>
      <w:pPr>
        <w:ind w:left="440" w:right="220" w:firstLine="1375"/>
        <w:spacing w:after="0" w:line="282" w:lineRule="auto"/>
        <w:rPr>
          <w:sz w:val="20"/>
          <w:szCs w:val="20"/>
          <w:color w:val="auto"/>
        </w:rPr>
      </w:pPr>
      <w:r>
        <w:rPr>
          <w:rFonts w:ascii="Times New Roman" w:cs="Times New Roman" w:eastAsia="Times New Roman" w:hAnsi="Times New Roman"/>
          <w:sz w:val="18"/>
          <w:szCs w:val="18"/>
          <w:color w:val="auto"/>
        </w:rPr>
        <w:t>(ii)  Death or Disability. Unless otherwise provided in the Award Agreement, if a Participant’s employment by or service to the Service Recipient terminates as a result of the Participant’s death or Disability:</w:t>
      </w:r>
    </w:p>
    <w:p>
      <w:pPr>
        <w:spacing w:after="0" w:line="54" w:lineRule="exact"/>
        <w:rPr>
          <w:sz w:val="20"/>
          <w:szCs w:val="20"/>
          <w:color w:val="auto"/>
        </w:rPr>
      </w:pPr>
    </w:p>
    <w:p>
      <w:pPr>
        <w:ind w:left="440" w:right="20" w:firstLine="1904"/>
        <w:spacing w:after="0" w:line="261" w:lineRule="auto"/>
        <w:rPr>
          <w:sz w:val="20"/>
          <w:szCs w:val="20"/>
          <w:color w:val="auto"/>
        </w:rPr>
      </w:pPr>
      <w:r>
        <w:rPr>
          <w:rFonts w:ascii="Times New Roman" w:cs="Times New Roman" w:eastAsia="Times New Roman" w:hAnsi="Times New Roman"/>
          <w:sz w:val="18"/>
          <w:szCs w:val="18"/>
          <w:color w:val="auto"/>
        </w:rPr>
        <w:t>(1)  the Participant (or his or her legal representative or beneficiary, in the case of the Participant’s Disability or death, respectively), will have until the date that is one year after the Participant’s termination of employment or service to exercise the Participant’s Options (or portion thereof) to the extent that such Options were vested and exercisable on the date of the Participant’s termination of employment or service on account of death or Disability;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55" w:name="page256"/>
    <w:bookmarkEnd w:id="255"/>
    <w:p>
      <w:pPr>
        <w:ind w:left="440" w:right="40" w:firstLine="190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the Options, to the extent not vested and exercisable on the date of the Participant’s termination of employment or service, shall terminate upon the Participant’s termination of employment or service on account of death or Disability; and</w:t>
      </w:r>
    </w:p>
    <w:p>
      <w:pPr>
        <w:spacing w:after="0" w:line="54" w:lineRule="exact"/>
        <w:rPr>
          <w:sz w:val="20"/>
          <w:szCs w:val="20"/>
          <w:color w:val="auto"/>
        </w:rPr>
      </w:pPr>
    </w:p>
    <w:p>
      <w:pPr>
        <w:ind w:left="440" w:right="540" w:firstLine="1904"/>
        <w:spacing w:after="0" w:line="312" w:lineRule="auto"/>
        <w:rPr>
          <w:sz w:val="20"/>
          <w:szCs w:val="20"/>
          <w:color w:val="auto"/>
        </w:rPr>
      </w:pPr>
      <w:r>
        <w:rPr>
          <w:rFonts w:ascii="Times New Roman" w:cs="Times New Roman" w:eastAsia="Times New Roman" w:hAnsi="Times New Roman"/>
          <w:sz w:val="17"/>
          <w:szCs w:val="17"/>
          <w:color w:val="auto"/>
        </w:rPr>
        <w:t>(3)  the Options, to the extent exercisable for the one-year period following the Participant’s termination of employment or service and not exercised during such period, shall terminate at the close of business on the last day of the one-year period.</w:t>
      </w:r>
    </w:p>
    <w:p>
      <w:pPr>
        <w:spacing w:after="0" w:line="32" w:lineRule="exact"/>
        <w:rPr>
          <w:sz w:val="20"/>
          <w:szCs w:val="20"/>
          <w:color w:val="auto"/>
        </w:rPr>
      </w:pPr>
    </w:p>
    <w:p>
      <w:pPr>
        <w:ind w:left="440" w:right="260" w:firstLine="1375"/>
        <w:spacing w:after="0" w:line="266" w:lineRule="auto"/>
        <w:rPr>
          <w:sz w:val="20"/>
          <w:szCs w:val="20"/>
          <w:color w:val="auto"/>
        </w:rPr>
      </w:pPr>
      <w:r>
        <w:rPr>
          <w:rFonts w:ascii="Times New Roman" w:cs="Times New Roman" w:eastAsia="Times New Roman" w:hAnsi="Times New Roman"/>
          <w:sz w:val="18"/>
          <w:szCs w:val="18"/>
          <w:color w:val="auto"/>
        </w:rPr>
        <w:t>(iii)  Other Terminations of Employment or Service. Unless otherwise provided in the Award Agreement, if a Participant’s employment by or service to the Service Recipient terminates for any reason other than a termination by the Service Recipient for Cause or because of the Participant’s death or Disability:</w:t>
      </w:r>
    </w:p>
    <w:p>
      <w:pPr>
        <w:spacing w:after="0" w:line="68" w:lineRule="exact"/>
        <w:rPr>
          <w:sz w:val="20"/>
          <w:szCs w:val="20"/>
          <w:color w:val="auto"/>
        </w:rPr>
      </w:pPr>
    </w:p>
    <w:p>
      <w:pPr>
        <w:ind w:left="440" w:right="240" w:firstLine="1904"/>
        <w:spacing w:after="0" w:line="266" w:lineRule="auto"/>
        <w:rPr>
          <w:sz w:val="20"/>
          <w:szCs w:val="20"/>
          <w:color w:val="auto"/>
        </w:rPr>
      </w:pPr>
      <w:r>
        <w:rPr>
          <w:rFonts w:ascii="Times New Roman" w:cs="Times New Roman" w:eastAsia="Times New Roman" w:hAnsi="Times New Roman"/>
          <w:sz w:val="18"/>
          <w:szCs w:val="18"/>
          <w:color w:val="auto"/>
        </w:rPr>
        <w:t>(1)  the Participant will have until the date that is three months after the Participant’s termination of employment or service to exercise his or her Options (or portion thereof) to the extent that such Options were vested and exercisable on the date of the Participant’s termination of employment or service;</w:t>
      </w:r>
    </w:p>
    <w:p>
      <w:pPr>
        <w:spacing w:after="0" w:line="68" w:lineRule="exact"/>
        <w:rPr>
          <w:sz w:val="20"/>
          <w:szCs w:val="20"/>
          <w:color w:val="auto"/>
        </w:rPr>
      </w:pPr>
    </w:p>
    <w:p>
      <w:pPr>
        <w:ind w:left="440" w:right="40" w:firstLine="1904"/>
        <w:spacing w:after="0" w:line="282" w:lineRule="auto"/>
        <w:rPr>
          <w:sz w:val="20"/>
          <w:szCs w:val="20"/>
          <w:color w:val="auto"/>
        </w:rPr>
      </w:pPr>
      <w:r>
        <w:rPr>
          <w:rFonts w:ascii="Times New Roman" w:cs="Times New Roman" w:eastAsia="Times New Roman" w:hAnsi="Times New Roman"/>
          <w:sz w:val="18"/>
          <w:szCs w:val="18"/>
          <w:color w:val="auto"/>
        </w:rPr>
        <w:t>(2)  the Options, to the extent not vested and exercisable on the date of the Participant’s termination of employment or service, shall terminate upon the Participant’s termination of employment or service; and</w:t>
      </w:r>
    </w:p>
    <w:p>
      <w:pPr>
        <w:spacing w:after="0" w:line="54" w:lineRule="exact"/>
        <w:rPr>
          <w:sz w:val="20"/>
          <w:szCs w:val="20"/>
          <w:color w:val="auto"/>
        </w:rPr>
      </w:pPr>
    </w:p>
    <w:p>
      <w:pPr>
        <w:ind w:left="440" w:right="300" w:firstLine="1904"/>
        <w:spacing w:after="0" w:line="312" w:lineRule="auto"/>
        <w:rPr>
          <w:sz w:val="20"/>
          <w:szCs w:val="20"/>
          <w:color w:val="auto"/>
        </w:rPr>
      </w:pPr>
      <w:r>
        <w:rPr>
          <w:rFonts w:ascii="Times New Roman" w:cs="Times New Roman" w:eastAsia="Times New Roman" w:hAnsi="Times New Roman"/>
          <w:sz w:val="17"/>
          <w:szCs w:val="17"/>
          <w:color w:val="auto"/>
        </w:rPr>
        <w:t>(3)  the Options, to the extent exercisable for the three-month period following the Participant’s termination of employment or service and not exercised during such period, shall terminate at the close of business on the last day of the three-month period.</w:t>
      </w:r>
    </w:p>
    <w:p>
      <w:pPr>
        <w:spacing w:after="0" w:line="14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Incentive Share Options</w:t>
      </w:r>
      <w:r>
        <w:rPr>
          <w:rFonts w:ascii="Times New Roman" w:cs="Times New Roman" w:eastAsia="Times New Roman" w:hAnsi="Times New Roman"/>
          <w:sz w:val="18"/>
          <w:szCs w:val="18"/>
          <w:color w:val="auto"/>
        </w:rPr>
        <w:t>. Incentive Share Options shall be granted only to Employees of the Company, a Parent or Subsidiary of the Company. Incentive Share Options may not be granted to Employees of a Related Entity or to Independent Directors or Consultants. The terms of any Incentive Share Options granted pursuant to the Plan, in addition to the requirements of Section 5.1, must comply with the following additional provisions of this Section 5.2:</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An Incentive Share Option may not be exercised to any extent by anyone after the first to occur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events:</w:t>
      </w:r>
    </w:p>
    <w:p>
      <w:pPr>
        <w:spacing w:after="0" w:line="99" w:lineRule="exact"/>
        <w:rPr>
          <w:sz w:val="20"/>
          <w:szCs w:val="20"/>
          <w:color w:val="auto"/>
        </w:rPr>
      </w:pPr>
    </w:p>
    <w:p>
      <w:pPr>
        <w:ind w:left="1820" w:right="2260"/>
        <w:spacing w:after="0" w:line="375" w:lineRule="auto"/>
        <w:rPr>
          <w:sz w:val="20"/>
          <w:szCs w:val="20"/>
          <w:color w:val="auto"/>
        </w:rPr>
      </w:pPr>
      <w:r>
        <w:rPr>
          <w:rFonts w:ascii="Times New Roman" w:cs="Times New Roman" w:eastAsia="Times New Roman" w:hAnsi="Times New Roman"/>
          <w:sz w:val="18"/>
          <w:szCs w:val="18"/>
          <w:color w:val="auto"/>
        </w:rPr>
        <w:t>(i)  Five years from the date it is granted, unless an earlier time is set in the Award Agreement; (ii)  Three months after the Participant’s termination of employment as an Employee; and</w:t>
      </w:r>
    </w:p>
    <w:p>
      <w:pPr>
        <w:spacing w:after="0" w:line="1" w:lineRule="exact"/>
        <w:rPr>
          <w:sz w:val="20"/>
          <w:szCs w:val="20"/>
          <w:color w:val="auto"/>
        </w:rPr>
      </w:pPr>
    </w:p>
    <w:p>
      <w:pPr>
        <w:ind w:left="440" w:firstLine="1375"/>
        <w:spacing w:after="0" w:line="258" w:lineRule="auto"/>
        <w:rPr>
          <w:sz w:val="20"/>
          <w:szCs w:val="20"/>
          <w:color w:val="auto"/>
        </w:rPr>
      </w:pPr>
      <w:r>
        <w:rPr>
          <w:rFonts w:ascii="Times New Roman" w:cs="Times New Roman" w:eastAsia="Times New Roman" w:hAnsi="Times New Roman"/>
          <w:sz w:val="18"/>
          <w:szCs w:val="18"/>
          <w:color w:val="auto"/>
        </w:rPr>
        <w:t>(iii)  One year after the date of the Participant’s termination of employment or service on account of Disability or death. Upon the Participant’s Disability or death, any Incentive Share Options exercisable at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Incentive Share Option or dies intestate, by the person or persons entitled to receive the Incentive Share Option pursuant to the applicable laws of descent and distribution.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256" w:name="page257"/>
    <w:bookmarkEnd w:id="256"/>
    <w:p>
      <w:pPr>
        <w:ind w:right="80" w:firstLine="143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Individual Dollar Limitation</w:t>
      </w:r>
      <w:r>
        <w:rPr>
          <w:rFonts w:ascii="Times New Roman" w:cs="Times New Roman" w:eastAsia="Times New Roman" w:hAnsi="Times New Roman"/>
          <w:sz w:val="18"/>
          <w:szCs w:val="18"/>
          <w:color w:val="auto"/>
        </w:rPr>
        <w:t>. The aggregate Fair Market Value (determined as of the time the Option is granted) of all Shares with respect to which Incentive Share Options are first exercisable by a Participant in any calendar year may not exceed US$100,000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180"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an Incentive Share Option shall be equal to the Fair Market Value on the date of grant. However, the exercise price of any Incentive Share Option granted to any individual who, at the date of grant, owns Shares possessing more than ten percent of the total combined voting power of all classes of shares of the Company may not be less than 110% of Fair Market Value on the date of grant and such Option may not be exercisable for more than five years from the date of grant.</w:t>
      </w:r>
    </w:p>
    <w:p>
      <w:pPr>
        <w:spacing w:after="0" w:line="180" w:lineRule="exact"/>
        <w:rPr>
          <w:sz w:val="20"/>
          <w:szCs w:val="20"/>
          <w:color w:val="auto"/>
        </w:rPr>
      </w:pPr>
    </w:p>
    <w:p>
      <w:pPr>
        <w:jc w:val="both"/>
        <w:ind w:right="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Transfer Restriction</w:t>
      </w:r>
      <w:r>
        <w:rPr>
          <w:rFonts w:ascii="Times New Roman" w:cs="Times New Roman" w:eastAsia="Times New Roman" w:hAnsi="Times New Roman"/>
          <w:sz w:val="18"/>
          <w:szCs w:val="18"/>
          <w:color w:val="auto"/>
        </w:rPr>
        <w:t>. The Participant shall give the Company prompt notice of any disposition of Shares acquired by exercise of an Incentive Share Option within (i) two years from the date of grant of such Incentive Share Option or (ii) one year after the transfer of such Shares to the Participant.</w:t>
      </w:r>
    </w:p>
    <w:p>
      <w:pPr>
        <w:spacing w:after="0" w:line="176" w:lineRule="exact"/>
        <w:rPr>
          <w:sz w:val="20"/>
          <w:szCs w:val="20"/>
          <w:color w:val="auto"/>
        </w:rPr>
      </w:pPr>
    </w:p>
    <w:p>
      <w:pPr>
        <w:ind w:right="26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Expiration of Incentive Share Options</w:t>
      </w:r>
      <w:r>
        <w:rPr>
          <w:rFonts w:ascii="Times New Roman" w:cs="Times New Roman" w:eastAsia="Times New Roman" w:hAnsi="Times New Roman"/>
          <w:sz w:val="18"/>
          <w:szCs w:val="18"/>
          <w:color w:val="auto"/>
        </w:rPr>
        <w:t>. No Award of an Incentive Share Option may be made pursuant to this Plan after the tenth anniversary of the Effective Date.</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During a Participant’s lifetime, an Incentive Share Option may be exercised only by the Participant.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Substitution of Share Appreciation Rights</w:t>
      </w:r>
      <w:r>
        <w:rPr>
          <w:rFonts w:ascii="Times New Roman" w:cs="Times New Roman" w:eastAsia="Times New Roman" w:hAnsi="Times New Roman"/>
          <w:sz w:val="18"/>
          <w:szCs w:val="18"/>
          <w:color w:val="auto"/>
        </w:rPr>
        <w:t>. The Committee may provide in the Award Agreement evidencing the grant of an Option that the Committee, in its sole discretion, shall have to right to substitute a Share Appreciation Right for such Option at any time prior to or upon exercise of such Option, provided that such Share Appreciation Right shall be exercisable for the same number of shares of Share as such substituted Option would have been exercisable for.</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SHARES</w:t>
      </w:r>
    </w:p>
    <w:p>
      <w:pPr>
        <w:spacing w:after="0" w:line="207"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Restricted Shares</w:t>
      </w:r>
      <w:r>
        <w:rPr>
          <w:rFonts w:ascii="Times New Roman" w:cs="Times New Roman" w:eastAsia="Times New Roman" w:hAnsi="Times New Roman"/>
          <w:sz w:val="18"/>
          <w:szCs w:val="18"/>
          <w:color w:val="auto"/>
        </w:rPr>
        <w:t>. The Committee is authorized to make Awards of Restricted Shares to any Participant selected by the Committee in such amounts and subject to such terms and conditions as determined by the Committee. All Awards of Restricted Shares shall be evidenced by an Award Agreement.</w:t>
      </w:r>
    </w:p>
    <w:p>
      <w:pPr>
        <w:spacing w:after="0" w:line="176" w:lineRule="exact"/>
        <w:rPr>
          <w:sz w:val="20"/>
          <w:szCs w:val="20"/>
          <w:color w:val="auto"/>
        </w:rPr>
      </w:pPr>
    </w:p>
    <w:p>
      <w:pPr>
        <w:ind w:right="3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Issuance and Restrictions</w:t>
      </w:r>
      <w:r>
        <w:rPr>
          <w:rFonts w:ascii="Times New Roman" w:cs="Times New Roman" w:eastAsia="Times New Roman" w:hAnsi="Times New Roman"/>
          <w:sz w:val="18"/>
          <w:szCs w:val="18"/>
          <w:color w:val="auto"/>
        </w:rPr>
        <w:t>. Restricted Shares shall be subject to such restrictions on transferability and other restrictions as the Committee may impose (including, without limitation, limitations on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Except as otherwise determined by the Committee at the time of the grant of the Award or thereafter, upon termination of employment or service during the applicable restriction period, Restricted Shares that are at that time subject to restrictions shall be forfeited; provided, however, that the Committee may (a) provide in any Restricted Share Award Agreement that restrictions or forfeiture conditions relating to Restricted Shares will be waived in whole or in part in the event of terminations resulting from specified causes, and (b) in other cases waive in whole or in part restrictions or forfeiture conditions relating to Restricted Shares.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70" w:right="539" w:bottom="1440" w:gutter="0" w:footer="0" w:header="0"/>
        </w:sectPr>
      </w:pPr>
    </w:p>
    <w:bookmarkStart w:id="257" w:name="page258"/>
    <w:bookmarkEnd w:id="257"/>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Certificates for Restricted Shares</w:t>
      </w:r>
      <w:r>
        <w:rPr>
          <w:rFonts w:ascii="Times New Roman" w:cs="Times New Roman" w:eastAsia="Times New Roman" w:hAnsi="Times New Roman"/>
          <w:sz w:val="18"/>
          <w:szCs w:val="18"/>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SHARE UNITS</w:t>
      </w:r>
    </w:p>
    <w:p>
      <w:pPr>
        <w:spacing w:after="0" w:line="20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Grant of Restricted Share Units</w:t>
      </w:r>
      <w:r>
        <w:rPr>
          <w:rFonts w:ascii="Times New Roman" w:cs="Times New Roman" w:eastAsia="Times New Roman" w:hAnsi="Times New Roman"/>
          <w:sz w:val="18"/>
          <w:szCs w:val="18"/>
          <w:color w:val="auto"/>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spacing w:after="0" w:line="176"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Restricted Share Units Award Agreement</w:t>
      </w:r>
      <w:r>
        <w:rPr>
          <w:rFonts w:ascii="Times New Roman" w:cs="Times New Roman" w:eastAsia="Times New Roman" w:hAnsi="Times New Roman"/>
          <w:sz w:val="18"/>
          <w:szCs w:val="18"/>
          <w:color w:val="auto"/>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Committee, in its discretion, may set performance objectives or other vesting criteria which, depending on the extent to which they are met, will determine the number or value of Restricted Share Units that will be paid out to the Participants.</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Form and Timing of Payment of Restricted Share Units</w:t>
      </w:r>
      <w:r>
        <w:rPr>
          <w:rFonts w:ascii="Times New Roman" w:cs="Times New Roman" w:eastAsia="Times New Roman" w:hAnsi="Times New Roman"/>
          <w:sz w:val="18"/>
          <w:szCs w:val="18"/>
          <w:color w:val="auto"/>
        </w:rPr>
        <w:t>. At the time of grant, the Committee shall specify the date or dates on which the Restricted Share Units shall become fully vested and nonforfeitable. Upon vesting, the Committee, in its sole discretion, may pay Restricted Share Units in the form of cash, in Shares or in a combination thereof.</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Forfeiture/Repurchase</w:t>
      </w:r>
      <w:r>
        <w:rPr>
          <w:rFonts w:ascii="Times New Roman" w:cs="Times New Roman" w:eastAsia="Times New Roman" w:hAnsi="Times New Roman"/>
          <w:sz w:val="18"/>
          <w:szCs w:val="18"/>
          <w:color w:val="auto"/>
        </w:rPr>
        <w:t xml:space="preserve">.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Committee may (a) provide in any Restricted Share Unit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SHARE APPRECIATION RIGHTS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Share Appreciation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432"/>
        <w:spacing w:after="0" w:line="282" w:lineRule="auto"/>
        <w:rPr>
          <w:sz w:val="20"/>
          <w:szCs w:val="20"/>
          <w:color w:val="auto"/>
        </w:rPr>
      </w:pPr>
      <w:r>
        <w:rPr>
          <w:rFonts w:ascii="Times New Roman" w:cs="Times New Roman" w:eastAsia="Times New Roman" w:hAnsi="Times New Roman"/>
          <w:sz w:val="18"/>
          <w:szCs w:val="18"/>
          <w:color w:val="auto"/>
        </w:rPr>
        <w:t>(a)  A Share Appreciation Right may be granted to any Participant selected by the Committee. A Share Appreciation Right shall be subject to such terms and conditions not inconsistent with the Plan as the Committee shall impose and shall be evidenced by an Award Agreement.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58" w:name="page259"/>
    <w:bookmarkEnd w:id="258"/>
    <w:p>
      <w:pPr>
        <w:ind w:right="100" w:firstLine="143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A Share Appreciation Right shall entitle the Participant (or other person entitled to exercise the Share Appreciation Right pursuant to the Plan) to exercise all or a specified portion of the Share Appreciation Right (to the extent then exercisable pursuant to its terms) and to receive from the Company an amount determined by multiplying the difference obtained by subtracting the exercise price per share of the Share Appreciation Right from the Fair Market Value of a Share on the date of exercise of the Share Appreciation Right by the number of Shares with respect to which the Share Appreciation Right shall have been exercised, subject to any limitations the Committee may impose.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Payment and Limitations on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32"/>
        <w:spacing w:after="0" w:line="282" w:lineRule="auto"/>
        <w:rPr>
          <w:sz w:val="20"/>
          <w:szCs w:val="20"/>
          <w:color w:val="auto"/>
        </w:rPr>
      </w:pPr>
      <w:r>
        <w:rPr>
          <w:rFonts w:ascii="Times New Roman" w:cs="Times New Roman" w:eastAsia="Times New Roman" w:hAnsi="Times New Roman"/>
          <w:sz w:val="18"/>
          <w:szCs w:val="18"/>
          <w:color w:val="auto"/>
        </w:rPr>
        <w:t>(a)  Payment of the amounts determined under Section 8.1(b) above shall be in cash, in Shares (based on its Fair Market Value as of the date the Share Appreciation Right is exercised) or a combination of both, as determined by the Committee in the Award Agreement.</w:t>
      </w:r>
    </w:p>
    <w:p>
      <w:pPr>
        <w:spacing w:after="0" w:line="162" w:lineRule="exact"/>
        <w:rPr>
          <w:sz w:val="20"/>
          <w:szCs w:val="20"/>
          <w:color w:val="auto"/>
        </w:rPr>
      </w:pPr>
    </w:p>
    <w:p>
      <w:pPr>
        <w:ind w:right="20" w:firstLine="1432"/>
        <w:spacing w:after="0" w:line="261" w:lineRule="auto"/>
        <w:rPr>
          <w:sz w:val="20"/>
          <w:szCs w:val="20"/>
          <w:color w:val="auto"/>
        </w:rPr>
      </w:pPr>
      <w:r>
        <w:rPr>
          <w:rFonts w:ascii="Times New Roman" w:cs="Times New Roman" w:eastAsia="Times New Roman" w:hAnsi="Times New Roman"/>
          <w:sz w:val="18"/>
          <w:szCs w:val="18"/>
          <w:color w:val="auto"/>
        </w:rPr>
        <w:t>(b)  To the extent payment for a Share Appreciation Right is to be made in cash the Award Agreements shall to the extent necessary to comply with the requirements to Section 409A of the Code, specify the date of payment which may be different than the date of exercise of the Share Appreciation right. If the date of payment for a Share Appreciation Right is later than the date of exercise, the Award Agreement may specify that the Participant be entitled to earnings on such amount until paid.</w:t>
      </w:r>
    </w:p>
    <w:p>
      <w:pPr>
        <w:spacing w:after="0" w:line="180" w:lineRule="exact"/>
        <w:rPr>
          <w:sz w:val="20"/>
          <w:szCs w:val="20"/>
          <w:color w:val="auto"/>
        </w:rPr>
      </w:pPr>
    </w:p>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t>(c)  To the extent any payment under Section 8.1(b) is effected in Shares it shall be made subject to satisfaction of all provisions of Article V above pertaining to Options.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OTHER TYPES OF AWARDS</w:t>
      </w:r>
    </w:p>
    <w:p>
      <w:pPr>
        <w:spacing w:after="0" w:line="20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Any Participant selected by the Committee may be granted Dividend Equivalents based on the dividends declared on the Shares that are subject to any Award, to be credited as of dividend payment dates, during the period between the date the Award is granted and the date the Award is exercised, vests or expires, as determined by the Committee. Such Dividend Equivalents shall be converted to cash or additional Shares by such formula and at such time and subject to such limitations as may be determined by the Committee.</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Share Payments</w:t>
      </w:r>
      <w:r>
        <w:rPr>
          <w:rFonts w:ascii="Times New Roman" w:cs="Times New Roman" w:eastAsia="Times New Roman" w:hAnsi="Times New Roman"/>
          <w:sz w:val="18"/>
          <w:szCs w:val="18"/>
          <w:color w:val="auto"/>
        </w:rPr>
        <w:t>. Any Participant selected by the Committee may receive Share Payments in the manner determined from time to time by the Committee; provided, that unless otherwise determined by the Committee such Share Payments shall be made in lieu of base salary, bonus, or other cash compensation otherwise payable to such Participant. The number of shares shall be determined by the Committee and may be based upon the Performance Criteria or other specific criteria determined appropriate by the Committee, determined on the date such Share Payment is made or on any date thereafter.</w:t>
      </w:r>
    </w:p>
    <w:p>
      <w:pPr>
        <w:spacing w:after="0" w:line="183"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Deferred Shares</w:t>
      </w:r>
      <w:r>
        <w:rPr>
          <w:rFonts w:ascii="Times New Roman" w:cs="Times New Roman" w:eastAsia="Times New Roman" w:hAnsi="Times New Roman"/>
          <w:sz w:val="18"/>
          <w:szCs w:val="18"/>
          <w:color w:val="auto"/>
        </w:rPr>
        <w:t>. Any Participant selected by the Committee may be granted an award of Deferred Shares in the manner determined from time to time by the Committee. The number of shares of Deferred Shares shall be determined by the Committee and may be linked to such specific criteria determined to be appropriate by the Committee, in each case on a specified date or dates or over any period or periods determined by the Committee. Shares underlying a Deferred Share award will not be issued until the Deferred Share award has vested, pursuant to a vesting schedule or criteria set by the Committee. Unless otherwise provided by the Committee, a Participant awarded Deferred Shares shall have no rights as a Company shareholder with respect to such Deferred Shares until such time as the Deferred Share Award has vested and the Shares underlying the Deferred Share Award has been issued.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59" w:name="page260"/>
    <w:bookmarkEnd w:id="259"/>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otherwise provided herein, the term of any Award of Dividend Equivalents, Share Payments or Deferred Share shall be set by the Committee in its discretion.</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Committee may establish the exercise or purchase price, if any, of any Award of Deferred Share, Share Payments or Restricted Share Units; provided, however, that such price shall not be less than the par value of a Share, unless otherwise permitted by Applicable Law.</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Exercise Upon Termination of Employment or Service</w:t>
      </w:r>
      <w:r>
        <w:rPr>
          <w:rFonts w:ascii="Times New Roman" w:cs="Times New Roman" w:eastAsia="Times New Roman" w:hAnsi="Times New Roman"/>
          <w:sz w:val="18"/>
          <w:szCs w:val="18"/>
          <w:color w:val="auto"/>
        </w:rPr>
        <w:t>. An Award of Dividend Equivalents, Deferred Share, Share Payments, and Restricted Share Units shall only be exercisable or payable while the Participant is an Employee, Consultant or a member of the Board, as applicable; provided, however, that the Committee in its sole and absolute discretion may provide that an Award of Dividend Equivalents, Share Payments, Deferred Share, or Restricted Share Units may be exercised or paid subsequent to a termination of employment or service, as applicable, or following a Change of Control of the Company, or because of the Participant’s retirement, death or Disability, or otherwise.</w:t>
      </w:r>
    </w:p>
    <w:p>
      <w:pPr>
        <w:spacing w:after="0" w:line="183"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Payments with respect to any Awards granted under this Article IX shall be made in cash, in Shares or a combination of both, as determined by the Committee.</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All Awards under this Article IX shall be subject to such additional terms and conditions as determined by the Committee and shall be evidenced by an Award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PROVISIONS APPLICABLE TO AWARDS</w:t>
      </w:r>
    </w:p>
    <w:p>
      <w:pPr>
        <w:spacing w:after="0" w:line="207"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Stand-Alone and Tandem Awards</w:t>
      </w:r>
      <w:r>
        <w:rPr>
          <w:rFonts w:ascii="Times New Roman" w:cs="Times New Roman" w:eastAsia="Times New Roman" w:hAnsi="Times New Roman"/>
          <w:sz w:val="18"/>
          <w:szCs w:val="18"/>
          <w:color w:val="auto"/>
        </w:rPr>
        <w:t>. Awards granted pursuant to the Plan may, in the discretion of the Committee,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76"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Limits on Transfer</w:t>
      </w:r>
      <w:r>
        <w:rPr>
          <w:rFonts w:ascii="Times New Roman" w:cs="Times New Roman" w:eastAsia="Times New Roman" w:hAnsi="Times New Roman"/>
          <w:sz w:val="18"/>
          <w:szCs w:val="18"/>
          <w:color w:val="auto"/>
        </w:rPr>
        <w:t>. No right or interest of a Participant in any Award may be pledged, encumbered, or hypothecated to or in favor of any party other than the Company or a Subsidiary, or shall be subject to any lien, obligation, or liability of such Participant to any other party other than the Company or a Subsidiary. Except as otherwise provided by the Committee, no Award shall be assigned, transferred, or otherwise disposed of by a Participant other than by will or the laws of descent and distribution. The Committee by express provision in the Award or an amendment thereto may permit an Award (other than an Incentive Share Option) to be transferred to, exercised by and paid to certain persons or entities related to the Participant, including but not limited to members of the Participant’s family, charitable institutions, or trusts or other entities whose beneficiaries or beneficial owners are members of the Participant’s family and/or charitable institutions, or to such other persons or entities as may be expressly approved by the Committee, pursuant to such conditions and procedures as the Committee may establish. Any permitted transfer shall be subject to the condition that the Committee receive evidence satisfactory to it that the transfer is being made for estate and/or tax planning purposes (or to a “blind trust” in connection with the Participant’s termination of employment or service with the Company or a Subsidiary to assume a position with a governmental, charitable, educational or similar non-profit institution) and on a basis consistent with the Company’s lawful issue of securities.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0" w:name="page261"/>
    <w:bookmarkEnd w:id="260"/>
    <w:p>
      <w:pPr>
        <w:ind w:right="20" w:firstLine="991"/>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10.4  </w:t>
      </w:r>
      <w:r>
        <w:rPr>
          <w:rFonts w:ascii="Times New Roman" w:cs="Times New Roman" w:eastAsia="Times New Roman" w:hAnsi="Times New Roman"/>
          <w:sz w:val="17"/>
          <w:szCs w:val="17"/>
          <w:u w:val="single" w:color="auto"/>
          <w:color w:val="auto"/>
        </w:rPr>
        <w:t>Beneficiaries</w:t>
      </w:r>
      <w:r>
        <w:rPr>
          <w:rFonts w:ascii="Times New Roman" w:cs="Times New Roman" w:eastAsia="Times New Roman" w:hAnsi="Times New Roman"/>
          <w:sz w:val="17"/>
          <w:szCs w:val="17"/>
          <w:color w:val="auto"/>
        </w:rPr>
        <w:t>. Notwithstanding Section 10.3,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432"/>
        <w:spacing w:after="0" w:line="253" w:lineRule="auto"/>
        <w:rPr>
          <w:sz w:val="20"/>
          <w:szCs w:val="20"/>
          <w:color w:val="auto"/>
        </w:rPr>
      </w:pPr>
      <w:r>
        <w:rPr>
          <w:rFonts w:ascii="Times New Roman" w:cs="Times New Roman" w:eastAsia="Times New Roman" w:hAnsi="Times New Roman"/>
          <w:sz w:val="18"/>
          <w:szCs w:val="18"/>
          <w:color w:val="auto"/>
        </w:rPr>
        <w:t>(a)  Notwithstanding anything herein to the contrary, the Company shall not be required to issue or deliver any certificates evidencing the Shares pursuant to the exercise of any Award, unless and until the Board has determined, with advice of counsel, that the issuance and delivery of such certificates is in compliance with all Applicable Laws, regulations of governmental authorities and, if applicable, the requirements of any exchange on which the Shares are listed or traded. All Share certificates delivered pursuant to the Plan are subject to any stop-transfer orders and other restrictions as the Committee deems necessary or advisable to comply with federal, state, or foreign jurisdiction, securities or other laws, rules and regulations and the rules of any national securities exchange or automated quotation system on which the Shares are listed, quoted, or traded. The Committee may place legends on any Share certificate to reference restrictions applicable to the Share. In addition to the terms and conditions provided herein, the Board may require that a Participant make such reasonable covenants, agreements, and representations as the Board,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192" w:lineRule="exact"/>
        <w:rPr>
          <w:sz w:val="20"/>
          <w:szCs w:val="20"/>
          <w:color w:val="auto"/>
        </w:rPr>
      </w:pPr>
    </w:p>
    <w:p>
      <w:pPr>
        <w:ind w:firstLine="1432"/>
        <w:spacing w:after="0" w:line="266" w:lineRule="auto"/>
        <w:rPr>
          <w:sz w:val="20"/>
          <w:szCs w:val="20"/>
          <w:color w:val="auto"/>
        </w:rPr>
      </w:pPr>
      <w:r>
        <w:rPr>
          <w:rFonts w:ascii="Times New Roman" w:cs="Times New Roman" w:eastAsia="Times New Roman" w:hAnsi="Times New Roman"/>
          <w:sz w:val="18"/>
          <w:szCs w:val="18"/>
          <w:color w:val="auto"/>
        </w:rPr>
        <w:t>(b)  Notwithstanding any other provision of the Plan, unless otherwise determined by the Committee or required by Applicable Laws, the Company shall not deliver to any Participant certificates evidencing Shares issued in connection with any Award and instead such Shares shall be recorded on the books of the Company or, as applicable, its transfer agent or share plan administrator.</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Paperless Administration</w:t>
      </w:r>
      <w:r>
        <w:rPr>
          <w:rFonts w:ascii="Times New Roman" w:cs="Times New Roman" w:eastAsia="Times New Roman" w:hAnsi="Times New Roman"/>
          <w:sz w:val="18"/>
          <w:szCs w:val="18"/>
          <w:color w:val="auto"/>
        </w:rPr>
        <w:t>. Subject to Applicable Laws, the Committee may make Awards, provide applicable disclosure and procedures for exercise of Awards by an internet website or interactive voice response system for the paperless administration of Awards.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61" w:name="page262"/>
    <w:bookmarkEnd w:id="261"/>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10.7  </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A Participant may be required to provide evidence that any currency used to pay the exercise price of any Award was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jurisdictions other than the PRC, the exchange rate as selected by the Committee on the date of exercise.</w:t>
      </w:r>
    </w:p>
    <w:p>
      <w:pPr>
        <w:spacing w:after="0" w:line="39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CAPITAL STRUCTURE</w:t>
      </w:r>
    </w:p>
    <w:p>
      <w:pPr>
        <w:spacing w:after="0" w:line="207" w:lineRule="exact"/>
        <w:rPr>
          <w:sz w:val="20"/>
          <w:szCs w:val="20"/>
          <w:color w:val="auto"/>
        </w:rPr>
      </w:pPr>
    </w:p>
    <w:p>
      <w:pPr>
        <w:ind w:left="4"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any dividend, share split, combination or exchange of Shares, amalgamation, arrangement or consolidation, spin-off, recapitalization or other distribution (other than normal cash dividends) of Company assets to its shareholders, or any other change affecting the Shares or the share price of a Share, the Committee shall make such proportionate adjustments, if any, as deemed appropriate or necessary by the Committee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and (c) the grant or exercise price per share for any outstanding Awards under the Plan.</w:t>
      </w:r>
    </w:p>
    <w:p>
      <w:pPr>
        <w:spacing w:after="0" w:line="189"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Except as may otherwise be provided in any Award Agreement or any other written agreement entered into by and between the Company and a Participant, upon, or in anticipation of, a Change of Control, the Committee may in its sole discretion provide for</w:t>
      </w:r>
    </w:p>
    <w:p>
      <w:pPr>
        <w:ind w:left="4" w:hanging="4"/>
        <w:spacing w:after="0" w:line="251" w:lineRule="auto"/>
        <w:tabs>
          <w:tab w:leader="none" w:pos="21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Awards outstanding hereunder to terminate at a specific time in the future and shall give each Participant the right to exercise such Awards during a period of time as the Committee shall determine, (ii) either the purchase of any Award for an amount of cash equal to the amount that could have been attained upon the exercise of such Award or realization of the Participant’s rights had such Award been currently exercisable or payable or fully vested (and, for the avoidance of doubt, if as of such date the Committee determines in good faith that no amount would have been attained upon the exercise of such Award or realization of the Participant’s rights, then such Award may be terminated by the Company without payment), (iii) the replacement of such Award with other rights or property selected by the Committee in its sole discretion the assumption of or substitution of such Award by the successor or surviving corporation, or a parent or subsidiary thereof, with appropriate adjustments as to the number and kind of Shares and prices, or (iv) provide for payment of Awards in cash based on the value of Shares on the date of the Change of Control plus reasonable interest on the Award through the date as determined by the Committee such Award would otherwise be vested or have been paid in accordance with its original terms, if necessary to comply with Section 409A of the Code.</w:t>
      </w:r>
    </w:p>
    <w:p>
      <w:pPr>
        <w:spacing w:after="0" w:line="193"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Outstanding Awards — Corporate Transactions</w:t>
      </w:r>
      <w:r>
        <w:rPr>
          <w:rFonts w:ascii="Times New Roman" w:cs="Times New Roman" w:eastAsia="Times New Roman" w:hAnsi="Times New Roman"/>
          <w:sz w:val="18"/>
          <w:szCs w:val="18"/>
          <w:color w:val="auto"/>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such Award in cash based on the value of Shares on the date of the Corporate Transaction plus reasonable interest on the Award through the date when such Award would otherwise be vested or have been paid in accordance with its original terms, if necessary to comply with Section 409A of the Code.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62" w:name="page263"/>
    <w:bookmarkEnd w:id="262"/>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11.4  </w:t>
      </w:r>
      <w:r>
        <w:rPr>
          <w:rFonts w:ascii="Times New Roman" w:cs="Times New Roman" w:eastAsia="Times New Roman" w:hAnsi="Times New Roman"/>
          <w:sz w:val="18"/>
          <w:szCs w:val="18"/>
          <w:u w:val="single" w:color="auto"/>
          <w:color w:val="auto"/>
        </w:rPr>
        <w:t>Outstanding Awards — Other Changes</w:t>
      </w:r>
      <w:r>
        <w:rPr>
          <w:rFonts w:ascii="Times New Roman" w:cs="Times New Roman" w:eastAsia="Times New Roman" w:hAnsi="Times New Roman"/>
          <w:sz w:val="18"/>
          <w:szCs w:val="18"/>
          <w:color w:val="auto"/>
        </w:rPr>
        <w:t>. In the event of any other change in the capitalization of the Company or corporate change other than those specifically referred to in this Article XI, the Committee may, in its absolute discretion, make such adjustments in the number and class of shares subject to Awards outstanding on the date on which such change occurs and in the per share grant or exercise price of each Award as the Committee may consider appropriate to prevent dilution or enlargement of rights.</w:t>
      </w:r>
    </w:p>
    <w:p>
      <w:pPr>
        <w:spacing w:after="0" w:line="180" w:lineRule="exact"/>
        <w:rPr>
          <w:sz w:val="20"/>
          <w:szCs w:val="20"/>
          <w:color w:val="auto"/>
        </w:rPr>
      </w:pPr>
    </w:p>
    <w:p>
      <w:pPr>
        <w:jc w:val="both"/>
        <w:ind w:right="360" w:firstLine="991"/>
        <w:spacing w:after="0" w:line="277" w:lineRule="auto"/>
        <w:rPr>
          <w:sz w:val="20"/>
          <w:szCs w:val="20"/>
          <w:color w:val="auto"/>
        </w:rPr>
      </w:pPr>
      <w:r>
        <w:rPr>
          <w:rFonts w:ascii="Times New Roman" w:cs="Times New Roman" w:eastAsia="Times New Roman" w:hAnsi="Times New Roman"/>
          <w:sz w:val="17"/>
          <w:szCs w:val="17"/>
          <w:color w:val="auto"/>
        </w:rPr>
        <w:t xml:space="preserve">11.5  </w:t>
      </w:r>
      <w:r>
        <w:rPr>
          <w:rFonts w:ascii="Times New Roman" w:cs="Times New Roman" w:eastAsia="Times New Roman" w:hAnsi="Times New Roman"/>
          <w:sz w:val="17"/>
          <w:szCs w:val="17"/>
          <w:u w:val="single" w:color="auto"/>
          <w:color w:val="auto"/>
        </w:rPr>
        <w:t>No Other Rights</w:t>
      </w:r>
      <w:r>
        <w:rPr>
          <w:rFonts w:ascii="Times New Roman" w:cs="Times New Roman" w:eastAsia="Times New Roman" w:hAnsi="Times New Roman"/>
          <w:sz w:val="17"/>
          <w:szCs w:val="17"/>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w:t>
      </w:r>
    </w:p>
    <w:p>
      <w:pPr>
        <w:spacing w:after="0" w:line="20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Plan shall be administered by the Compensation Committee of the Board; provided, however, that the Compensation Committee may delegate to a sub-committee the authority to administer the Plan with respect to Participants other than members of such sub-committee themselves (such sub-committee being the “Committee”; provided that if no such delegation is made, or with respect to Awards to the members of such sub-committee, the “Committee” shall be deemed to refer to the Compensation Committee). Such sub-committee shall consist of two or more individuals who are officers and/or directors of the Company. Notwithstanding the foregoing, references to the Committee shall refer to the Board if (i) the Compensation Committee ceases to exist and the Board does not appoint a successor Committee, or (ii) the full Board, acting by majority of its members in office are required to conduct the general administration of the Plan by Applicable Law.</w:t>
      </w:r>
    </w:p>
    <w:p>
      <w:pPr>
        <w:spacing w:after="0" w:line="18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Action by the Committee</w:t>
      </w:r>
      <w:r>
        <w:rPr>
          <w:rFonts w:ascii="Times New Roman" w:cs="Times New Roman" w:eastAsia="Times New Roman" w:hAnsi="Times New Roman"/>
          <w:sz w:val="18"/>
          <w:szCs w:val="18"/>
          <w:color w:val="auto"/>
        </w:rPr>
        <w:t>. A majority of the Committee shall constitute a quorum. The acts of a majority of the members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Authority of Committee</w:t>
      </w:r>
      <w:r>
        <w:rPr>
          <w:rFonts w:ascii="Times New Roman" w:cs="Times New Roman" w:eastAsia="Times New Roman" w:hAnsi="Times New Roman"/>
          <w:sz w:val="18"/>
          <w:szCs w:val="18"/>
          <w:color w:val="auto"/>
        </w:rPr>
        <w:t>. Subject to any specific designation in the Plan, the Committee has the exclusive power, authority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to:</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Designate Participants to receive Awards;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   Determine the type or types of Awards to be granted to each Participant;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63" w:name="page264"/>
    <w:bookmarkEnd w:id="263"/>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Determine the number of Awards to be granted and the number of Shares to which an Award will relate;</w:t>
      </w:r>
    </w:p>
    <w:p>
      <w:pPr>
        <w:spacing w:after="0" w:line="225" w:lineRule="exact"/>
        <w:rPr>
          <w:sz w:val="20"/>
          <w:szCs w:val="20"/>
          <w:color w:val="auto"/>
        </w:rPr>
      </w:pPr>
    </w:p>
    <w:p>
      <w:pPr>
        <w:ind w:right="40" w:firstLine="1432"/>
        <w:spacing w:after="0" w:line="261" w:lineRule="auto"/>
        <w:rPr>
          <w:sz w:val="20"/>
          <w:szCs w:val="20"/>
          <w:color w:val="auto"/>
        </w:rPr>
      </w:pPr>
      <w:r>
        <w:rPr>
          <w:rFonts w:ascii="Times New Roman" w:cs="Times New Roman" w:eastAsia="Times New Roman" w:hAnsi="Times New Roman"/>
          <w:sz w:val="18"/>
          <w:szCs w:val="18"/>
          <w:color w:val="auto"/>
        </w:rPr>
        <w:t>(d)  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180" w:lineRule="exact"/>
        <w:rPr>
          <w:sz w:val="20"/>
          <w:szCs w:val="20"/>
          <w:color w:val="auto"/>
        </w:rPr>
      </w:pPr>
    </w:p>
    <w:p>
      <w:pPr>
        <w:ind w:right="100" w:firstLine="1432"/>
        <w:spacing w:after="0" w:line="282" w:lineRule="auto"/>
        <w:rPr>
          <w:sz w:val="20"/>
          <w:szCs w:val="20"/>
          <w:color w:val="auto"/>
        </w:rPr>
      </w:pPr>
      <w:r>
        <w:rPr>
          <w:rFonts w:ascii="Times New Roman" w:cs="Times New Roman" w:eastAsia="Times New Roman" w:hAnsi="Times New Roman"/>
          <w:sz w:val="18"/>
          <w:szCs w:val="18"/>
          <w:color w:val="auto"/>
        </w:rPr>
        <w:t>(e)  Determine whether, to what extent, and pursuant to what circumstances an Award may be settled in, or the exercise price of an Award may be paid in, cash, Shares, other Awards, or other property, or an Award may be canceled, forfeited, or surrendered;</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   Prescribe the form of each Award Agreement, which need not be identical for each Participant;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   Decide all other matters that must be determined in connection with an Award;</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   Establish, adopt, or revise any rules and regulations as it may deem necessary or advisable to administer the Plan;</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Interpret the terms of, and any matter arising pursuant to, the Plan or any Award Agreement;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   Reduce the exercise price per Share subject to an Option; and</w:t>
      </w:r>
    </w:p>
    <w:p>
      <w:pPr>
        <w:spacing w:after="0" w:line="225" w:lineRule="exact"/>
        <w:rPr>
          <w:sz w:val="20"/>
          <w:szCs w:val="20"/>
          <w:color w:val="auto"/>
        </w:rPr>
      </w:pPr>
    </w:p>
    <w:p>
      <w:pPr>
        <w:ind w:right="40" w:firstLine="1432"/>
        <w:spacing w:after="0" w:line="282" w:lineRule="auto"/>
        <w:rPr>
          <w:sz w:val="20"/>
          <w:szCs w:val="20"/>
          <w:color w:val="auto"/>
        </w:rPr>
      </w:pPr>
      <w:r>
        <w:rPr>
          <w:rFonts w:ascii="Times New Roman" w:cs="Times New Roman" w:eastAsia="Times New Roman" w:hAnsi="Times New Roman"/>
          <w:sz w:val="18"/>
          <w:szCs w:val="18"/>
          <w:color w:val="auto"/>
        </w:rPr>
        <w:t>(k)  Make all other decisions and determinations that may be required pursuant to the Plan or as the Committee deems necessary or advisable to administer the Plan, including design and adopt from time to time new types of Awards that are in compliance with Applicable Laws.</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EFFECTIVE AND EXPIRATION DATE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Plan shall become effective as of the date of the adoption of the Plan by the Board (the “Effective Date”).</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Replacement of Original Plan</w:t>
      </w:r>
      <w:r>
        <w:rPr>
          <w:rFonts w:ascii="Times New Roman" w:cs="Times New Roman" w:eastAsia="Times New Roman" w:hAnsi="Times New Roman"/>
          <w:sz w:val="18"/>
          <w:szCs w:val="18"/>
          <w:color w:val="auto"/>
        </w:rPr>
        <w:t>. The Plan shall replace the Global Share Incentive Plan in its entirety. The Awards granted and outstanding under the Global Share Incentive Plan and the evidencing original Award Agreements shall remain effective and binding under the Plan, subject to any amendment and modification to the original Award Agreements that the Committee, in its sole discretion, shall determine.</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Plan will expire on, and no Award may be granted pursuant to the Plan after, the tenth anniversary of the Original Effective Date. Any Awards that are outstanding on the tenth anniversary of the Original Effective Date shall remain in force according to the terms of the Plan and the applicable Award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MODIFICATION, AND TERMINATION</w:t>
      </w:r>
    </w:p>
    <w:p>
      <w:pPr>
        <w:spacing w:after="0" w:line="20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With the approval of the Board, at any time and from time to time, the Committee may terminate, amend or modify the Plan; provided, however, that to the extent necessary and desirable to comply with any applicable law, regulation, or stock exchange rule, unless the Company decides to follow home country practice pursuant to Rule 5615(a)(3) of the Nasdaq listing rules applicable to foreign private issuers, the Company shall obtain shareholder approval of any Plan amendment in such a manner and to such a degree as required, including any amendment to the Plan that (i) increases the number of Shares available under the Plan (other than any adjustment as provided by Article XI), (ii) permits the Committee to extend the exercise period for an Option beyond ten years from the date of grant, or (iii) results in a change in eligibility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-579755</wp:posOffset>
            </wp:positionV>
            <wp:extent cx="2857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9"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Except with respect to amendments made pursuant to Section 14.1, no termination, amendment, or modification of the Plan shall adversely affect in any material way any Award previously granted pursuant to the Plan without the prior written consent of the Participant.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No Rights to Awards</w:t>
      </w:r>
      <w:r>
        <w:rPr>
          <w:rFonts w:ascii="Times New Roman" w:cs="Times New Roman" w:eastAsia="Times New Roman" w:hAnsi="Times New Roman"/>
          <w:sz w:val="18"/>
          <w:szCs w:val="18"/>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No Shareholders Rights</w:t>
      </w:r>
      <w:r>
        <w:rPr>
          <w:rFonts w:ascii="Times New Roman" w:cs="Times New Roman" w:eastAsia="Times New Roman" w:hAnsi="Times New Roman"/>
          <w:sz w:val="18"/>
          <w:szCs w:val="18"/>
          <w:color w:val="auto"/>
        </w:rPr>
        <w:t>. No Award gives the Participant any of the rights of a Shareholder of the Company unless and until Shares are in fact issued to such person in connection with such Award.</w:t>
      </w:r>
    </w:p>
    <w:p>
      <w:pPr>
        <w:spacing w:after="0" w:line="162"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No Shares shall be delivered under the Plan to any Participant until such Participant has made arrangements acceptable to the Committee for the satisfaction of any income and employment tax withholding obligations under Applicable Laws, including without limitation the PRC tax laws, rules, regulations and government orders or the U.S. Federal, state or local tax laws, as applicable. The Company or any Subsidiary shall have the authority and the right to deduct or withhold, or require a Participant to remit to the Company, an amount sufficient to satisfy federal, state, local and foreign taxes (including the Participant’s payroll tax obligations) required by law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the Participant’s federal, state, local and foreign income and payroll tax liabilities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265" w:name="page266"/>
    <w:bookmarkEnd w:id="265"/>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15.4  </w:t>
      </w:r>
      <w:r>
        <w:rPr>
          <w:rFonts w:ascii="Times New Roman" w:cs="Times New Roman" w:eastAsia="Times New Roman" w:hAnsi="Times New Roman"/>
          <w:sz w:val="18"/>
          <w:szCs w:val="18"/>
          <w:u w:val="single" w:color="auto"/>
          <w:color w:val="auto"/>
        </w:rPr>
        <w:t>No Right to Employment or Services</w:t>
      </w:r>
      <w:r>
        <w:rPr>
          <w:rFonts w:ascii="Times New Roman" w:cs="Times New Roman" w:eastAsia="Times New Roman" w:hAnsi="Times New Roman"/>
          <w:sz w:val="18"/>
          <w:szCs w:val="18"/>
          <w:color w:val="auto"/>
        </w:rPr>
        <w:t>. Nothing in the Plan or any Award Agreement shall interfere with or limit in any way the right of the Service Recipient to terminate any Participant’s employment or services at any time, nor confer upon any Participant any right to continue in the employment or service of any Service Recipient.</w:t>
      </w:r>
    </w:p>
    <w:p>
      <w:pPr>
        <w:spacing w:after="0" w:line="176"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176"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19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of administering the Plan shall be borne by the Company and its Subsidiaries.</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62"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If an exercise of any Award shall result in the creation of a fractional Share under the Award, the Committee may determine, in its discretion, whether (i) such fractional Share shall be issued, or (ii) cash (in the amount equal to the product of such fraction multiplied by the Fair Market Value of a Share on the date the fractional Share otherwise would have been issued) shall be given in lieu of such fractional Share, or (iii) such fractional Share shall be eliminated by rounding up or down as appropriate.</w:t>
      </w:r>
    </w:p>
    <w:p>
      <w:pPr>
        <w:spacing w:after="0" w:line="180"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66" w:name="page267"/>
    <w:bookmarkEnd w:id="266"/>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15.12  </w:t>
      </w:r>
      <w:r>
        <w:rPr>
          <w:rFonts w:ascii="Times New Roman" w:cs="Times New Roman" w:eastAsia="Times New Roman" w:hAnsi="Times New Roman"/>
          <w:sz w:val="18"/>
          <w:szCs w:val="18"/>
          <w:u w:val="single" w:color="auto"/>
          <w:color w:val="auto"/>
        </w:rPr>
        <w:t>Government and Other Regulations</w:t>
      </w:r>
      <w:r>
        <w:rPr>
          <w:rFonts w:ascii="Times New Roman" w:cs="Times New Roman" w:eastAsia="Times New Roman" w:hAnsi="Times New Roman"/>
          <w:sz w:val="18"/>
          <w:szCs w:val="18"/>
          <w:color w:val="auto"/>
        </w:rPr>
        <w:t>. The obligation of the Company to make payment of awards in Shares or otherwise shall be subject to all Applicable Laws, rules, and regulations,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83"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 Agreements shall be construed in accordance with and governed by the laws of the Cayman Islands.</w:t>
      </w:r>
    </w:p>
    <w:p>
      <w:pPr>
        <w:spacing w:after="0" w:line="162" w:lineRule="exact"/>
        <w:rPr>
          <w:sz w:val="20"/>
          <w:szCs w:val="20"/>
          <w:color w:val="auto"/>
        </w:rPr>
      </w:pPr>
    </w:p>
    <w:p>
      <w:pPr>
        <w:jc w:val="both"/>
        <w:ind w:right="300" w:firstLine="991"/>
        <w:spacing w:after="0" w:line="272" w:lineRule="auto"/>
        <w:rPr>
          <w:sz w:val="20"/>
          <w:szCs w:val="20"/>
          <w:color w:val="auto"/>
        </w:rPr>
      </w:pPr>
      <w:r>
        <w:rPr>
          <w:rFonts w:ascii="Times New Roman" w:cs="Times New Roman" w:eastAsia="Times New Roman" w:hAnsi="Times New Roman"/>
          <w:sz w:val="17"/>
          <w:szCs w:val="17"/>
          <w:color w:val="auto"/>
        </w:rPr>
        <w:t xml:space="preserve">15.14 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Department of Treasury regulations and other interpretative guidance issued thereunder, including without limitation any such regulation or other guidance that may be issued after the Effective Date. If an amount payable under an Award as a result of the Participant’s termination of employment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employment, except as permitted under Section 409A of the Code. If the Award includes a “series of installment payments” (within the meaning of Section 1.409A-2(b)(2)(iii) of the U.S. Department of Treasury guidance), the Participant’s right to the series of installment payments shall be treated as a right to a series of separate payments and not as a right to a single payment, and if the Award includes “dividend equivalents” (within the meaning of Section 1.409A-3(e) of the U.S. Department of Treasury guidance), the Participant’s right to the dividend equivalents shall be treated separately from the right to other amounts under the Award.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is necessary or appropriate to (a) exempt the Award from Section 409A of the Code and /or preserve the intended tax treatment of the benefits provided with respect to the Award, or (b) comply with the requirements of Section 409A of the Code and related U.S. Department of Treasury guidance.</w:t>
      </w:r>
    </w:p>
    <w:p>
      <w:pPr>
        <w:spacing w:after="0" w:line="191"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u w:val="single" w:color="auto"/>
          <w:color w:val="auto"/>
        </w:rPr>
        <w:t>Appendices</w:t>
      </w:r>
      <w:r>
        <w:rPr>
          <w:rFonts w:ascii="Times New Roman" w:cs="Times New Roman" w:eastAsia="Times New Roman" w:hAnsi="Times New Roman"/>
          <w:sz w:val="18"/>
          <w:szCs w:val="18"/>
          <w:color w:val="auto"/>
        </w:rPr>
        <w:t>. The Committee may approve such supplements, amendments or appendices to the Plan as it may consider necessary or appropriate for purposes of compliance with applicable laws or otherwise and such supplements, amendments or appendices shall be considered a part of the Plan; provided, however, that no such supplements shall increase the share limitations contained in Section 3.1 of the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Significant Consolidated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Subsidiaries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C-Travel International Limited, a Cayman Islands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Ctrip.com (Hong Kong) Limited, a Hong Kong company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Trip.com Travel Singapore Pte. Ltd., a Singapore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Ctrip Investment (Shanghai) Co., Ltd., a PRC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Qunar Cayman Islands Limited, a Cayman Islands company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Ctrip Computer Technology (Shanghai) Co., Ltd., a PRC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Ctrip Travel Information Technology (Shanghai) Co., Ltd., a PRC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Ctrip Travel Network Technology (Shanghai) Co., Ltd., a PRC company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Qunar Software Technology Co., Ltd., a PRC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Wancheng (Shanghai) Travel Service Co., Ltd., a PRC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Hecheng International Travel Agency Co., Ltd., a PRC company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Skyscanner Holdings Limited, a UK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Ctrip International Travel Agency Co., Ltd., a PRC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Chengdu Ctrip International Travel Agency Co., Ltd., a PRC company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Chengdu Ctrip Travel Agency Co., Ltd., a PRC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Chengdu Ctrip Information Technology Co., Ltd., a PRC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Variable Interest Entities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Ctrip Commerce Co., Ltd., a PRC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Huacheng Southwest International Travel Agency Co., Ltd., a PRC company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Qu Na Information Technology Co., Ltd., a PRC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715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consolidated entities of Trip.com Group Limited have been omitted from this list since, considered in the aggregate as a single entity, they would not constitute a significant subsidiary.</w:t>
      </w:r>
    </w:p>
    <w:p>
      <w:pPr>
        <w:sectPr>
          <w:pgSz w:w="11900" w:h="16838" w:orient="portrait"/>
          <w:cols w:equalWidth="0" w:num="1">
            <w:col w:w="11020"/>
          </w:cols>
          <w:pgMar w:left="440" w:top="117" w:right="4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Jane Jie Sun, certify that:</w:t>
      </w:r>
    </w:p>
    <w:p>
      <w:pPr>
        <w:spacing w:after="0" w:line="131" w:lineRule="exact"/>
        <w:rPr>
          <w:sz w:val="20"/>
          <w:szCs w:val="20"/>
          <w:color w:val="auto"/>
        </w:rPr>
      </w:pPr>
    </w:p>
    <w:p>
      <w:pPr>
        <w:ind w:left="424" w:hanging="424"/>
        <w:spacing w:after="0"/>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Trip.com Group Limited (the “Company”);</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00" w:hanging="424"/>
        <w:spacing w:after="0" w:line="261" w:lineRule="auto"/>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Company and have:</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0" w:hanging="532"/>
        <w:spacing w:after="0" w:line="266" w:lineRule="auto"/>
        <w:tabs>
          <w:tab w:leader="none" w:pos="96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Jane Jie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Jane Jie Sun</w:t>
      </w:r>
    </w:p>
    <w:p>
      <w:pPr>
        <w:spacing w:after="0" w:line="9"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024"/>
          </w:cols>
          <w:pgMar w:left="436" w:top="117" w:right="4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Cindy Xiaofan Wang, certify that:</w:t>
      </w:r>
    </w:p>
    <w:p>
      <w:pPr>
        <w:spacing w:after="0" w:line="131" w:lineRule="exact"/>
        <w:rPr>
          <w:sz w:val="20"/>
          <w:szCs w:val="20"/>
          <w:color w:val="auto"/>
        </w:rPr>
      </w:pPr>
    </w:p>
    <w:p>
      <w:pPr>
        <w:ind w:left="424" w:hanging="424"/>
        <w:spacing w:after="0"/>
        <w:tabs>
          <w:tab w:leader="none" w:pos="4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Trip.com Group Limited (the “Company”);</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00" w:hanging="424"/>
        <w:spacing w:after="0" w:line="261" w:lineRule="auto"/>
        <w:tabs>
          <w:tab w:leader="none" w:pos="4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Company and have:</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0" w:hanging="532"/>
        <w:spacing w:after="0" w:line="266" w:lineRule="auto"/>
        <w:tabs>
          <w:tab w:leader="none" w:pos="964"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Cindy Xiaofan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Cindy Xiaofan Wang</w:t>
      </w:r>
    </w:p>
    <w:p>
      <w:pPr>
        <w:spacing w:after="0" w:line="9"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24"/>
          </w:cols>
          <w:pgMar w:left="436" w:top="117" w:right="4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20" w:firstLine="1983"/>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Trip.com Group Limited (the “Company”) on Form 20-F for the year ended December 31, 2025 as filed with the Securities and Exchange Commission on the date hereof (the “Report”), I, Jane Jie Sun, Chief Executive Officer of the Company, certify, pursuant to 18 U.S.C. Section 1350, as adopted pursuant to Section 906 of the Sarbanes-Oxley Act of 2002, that to my knowledge:</w:t>
      </w:r>
    </w:p>
    <w:p>
      <w:pPr>
        <w:spacing w:after="0" w:line="158" w:lineRule="exact"/>
        <w:rPr>
          <w:sz w:val="20"/>
          <w:szCs w:val="20"/>
          <w:color w:val="auto"/>
        </w:rPr>
      </w:pPr>
    </w:p>
    <w:p>
      <w:pPr>
        <w:ind w:left="2240" w:hanging="261"/>
        <w:spacing w:after="0"/>
        <w:tabs>
          <w:tab w:leader="none" w:pos="22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Jane Jie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Jane Jie Sun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020"/>
          </w:cols>
          <w:pgMar w:left="440" w:top="117" w:right="4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40" w:firstLine="1983"/>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Trip.com Group Limited (the “Company”) on Form 20-F for the year ended December 31, 2025 as filed with the Securities and Exchange Commission on the date hereof (the “Report”), I, Cindy Xiaofan Wang,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2240" w:hanging="261"/>
        <w:spacing w:after="0"/>
        <w:tabs>
          <w:tab w:leader="none" w:pos="22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Cindy Xiaofan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Cindy Xiaofan Wang</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20"/>
          </w:cols>
          <w:pgMar w:left="440" w:top="117" w:right="4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882650" cy="8312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6">
                      <a:extLst>
                        <a:ext uri="{28A0092B-C50C-407E-A947-70E740481C1C}"/>
                      </a:extLst>
                    </a:blip>
                    <a:srcRect/>
                    <a:stretch>
                      <a:fillRect/>
                    </a:stretch>
                  </pic:blipFill>
                  <pic:spPr bwMode="auto">
                    <a:xfrm>
                      <a:off x="0" y="0"/>
                      <a:ext cx="88265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Our ref</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VSL/302248-000002/86017106v2</w:t>
            </w:r>
          </w:p>
        </w:tc>
      </w:tr>
      <w:tr>
        <w:trPr>
          <w:trHeight w:val="194"/>
        </w:trPr>
        <w:tc>
          <w:tcPr>
            <w:tcW w:w="7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17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vivian.lee@maples.com</w:t>
            </w:r>
          </w:p>
        </w:tc>
        <w:tc>
          <w:tcPr>
            <w:tcW w:w="740" w:type="dxa"/>
            <w:vAlign w:val="bottom"/>
          </w:tcPr>
          <w:p>
            <w:pPr>
              <w:spacing w:after="0"/>
              <w:rPr>
                <w:sz w:val="16"/>
                <w:szCs w:val="16"/>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Trip.com Group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Raffles Place, #29-01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048622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Trip.com Group Limited (the “Company”)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consent to the reference to our firm under the headings “Item 6. Directors, Senior Management and Employees — Enforceability of Civil Liabilities” and “Item 10. Additional Information — E. Taxation” in the Company’s Annual Report on Form 20-F for the year ended 31 December 2025, which will be filed with the Securities and Exchange Commission in the month of April 2026 and further consent to the incorporation by reference of the summary of our opinion under this heading into the Company’s registration statements on Form S-8 (No. 333-116567, No. 333-136264,</w:t>
      </w:r>
    </w:p>
    <w:p>
      <w:pPr>
        <w:spacing w:after="0" w:line="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No. 333-146761, No. 333-218899, No. 333-230297 and No. 333-257784) that were filed on 17 June 2004, 3 August 2006, 17 October 2007, 22 June 2017, 15 March 2019 and 9 July 2021,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ectPr>
          <w:pgSz w:w="11900" w:h="16838" w:orient="portrait"/>
          <w:cols w:equalWidth="0" w:num="1">
            <w:col w:w="11020"/>
          </w:cols>
          <w:pgMar w:left="440" w:top="117" w:right="4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173990</wp:posOffset>
            </wp:positionV>
            <wp:extent cx="2202815" cy="4597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8">
                      <a:extLst>
                        <a:ext uri="{28A0092B-C50C-407E-A947-70E740481C1C}"/>
                      </a:extLst>
                    </a:blip>
                    <a:srcRect/>
                    <a:stretch>
                      <a:fillRect/>
                    </a:stretch>
                  </pic:blipFill>
                  <pic:spPr bwMode="auto">
                    <a:xfrm>
                      <a:off x="0" y="0"/>
                      <a:ext cx="2202815"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line="161" w:lineRule="exact"/>
        <w:rPr>
          <w:sz w:val="20"/>
          <w:szCs w:val="20"/>
          <w:color w:val="auto"/>
        </w:rPr>
      </w:pPr>
      <w:r>
        <w:rPr>
          <w:rFonts w:ascii="PMingLiU" w:cs="PMingLiU" w:eastAsia="PMingLiU" w:hAnsi="PMingLiU"/>
          <w:sz w:val="12"/>
          <w:szCs w:val="12"/>
          <w:color w:val="auto"/>
        </w:rPr>
        <w:t>中國北京建國門外大街</w:t>
      </w:r>
      <w:r>
        <w:rPr>
          <w:rFonts w:ascii="Times New Roman" w:cs="Times New Roman" w:eastAsia="Times New Roman" w:hAnsi="Times New Roman"/>
          <w:sz w:val="14"/>
          <w:szCs w:val="14"/>
          <w:color w:val="auto"/>
        </w:rPr>
        <w:t>1</w:t>
      </w:r>
      <w:r>
        <w:rPr>
          <w:rFonts w:ascii="PMingLiU" w:cs="PMingLiU" w:eastAsia="PMingLiU" w:hAnsi="PMingLiU"/>
          <w:sz w:val="12"/>
          <w:szCs w:val="12"/>
          <w:color w:val="auto"/>
          <w:highlight w:val="black"/>
        </w:rPr>
        <w:t>號國貿辦公室</w:t>
      </w:r>
      <w:r>
        <w:rPr>
          <w:rFonts w:ascii="Times New Roman" w:cs="Times New Roman" w:eastAsia="Times New Roman" w:hAnsi="Times New Roman"/>
          <w:sz w:val="14"/>
          <w:szCs w:val="14"/>
          <w:color w:val="auto"/>
        </w:rPr>
        <w:t>2</w:t>
      </w:r>
      <w:r>
        <w:rPr>
          <w:rFonts w:ascii="PMingLiU" w:cs="PMingLiU" w:eastAsia="PMingLiU" w:hAnsi="PMingLiU"/>
          <w:sz w:val="12"/>
          <w:szCs w:val="12"/>
          <w:color w:val="auto"/>
        </w:rPr>
        <w:t>座</w:t>
      </w:r>
      <w:r>
        <w:rPr>
          <w:rFonts w:ascii="Times New Roman" w:cs="Times New Roman" w:eastAsia="Times New Roman" w:hAnsi="Times New Roman"/>
          <w:sz w:val="14"/>
          <w:szCs w:val="14"/>
          <w:color w:val="auto"/>
        </w:rPr>
        <w:t>12-14</w:t>
      </w:r>
      <w:r>
        <w:rPr>
          <w:rFonts w:ascii="PMingLiU" w:cs="PMingLiU" w:eastAsia="PMingLiU" w:hAnsi="PMingLiU"/>
          <w:sz w:val="12"/>
          <w:szCs w:val="12"/>
          <w:color w:val="auto"/>
        </w:rPr>
        <w:t>層</w:t>
      </w:r>
      <w:r>
        <w:rPr>
          <w:rFonts w:ascii="Times New Roman" w:cs="Times New Roman" w:eastAsia="Times New Roman" w:hAnsi="Times New Roman"/>
          <w:sz w:val="14"/>
          <w:szCs w:val="14"/>
          <w:color w:val="auto"/>
        </w:rPr>
        <w:t>100004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12-14th Floor, China World Office 2, No. 1 Jianguomenwai Avenue, Beijing 100004,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0</wp:posOffset>
            </wp:positionV>
            <wp:extent cx="184150" cy="1079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9">
                      <a:extLst>
                        <a:ext uri="{28A0092B-C50C-407E-A947-70E740481C1C}"/>
                      </a:extLst>
                    </a:blip>
                    <a:srcRect/>
                    <a:stretch>
                      <a:fillRect/>
                    </a:stretch>
                  </pic:blipFill>
                  <pic:spPr bwMode="auto">
                    <a:xfrm>
                      <a:off x="0" y="0"/>
                      <a:ext cx="184150" cy="107950"/>
                    </a:xfrm>
                    <a:prstGeom prst="rect">
                      <a:avLst/>
                    </a:prstGeom>
                    <a:noFill/>
                  </pic:spPr>
                </pic:pic>
              </a:graphicData>
            </a:graphic>
          </wp:anchor>
        </w:drawing>
      </w:r>
    </w:p>
    <w:p>
      <w:pPr>
        <w:jc w:val="center"/>
        <w:spacing w:after="0" w:line="141" w:lineRule="exact"/>
        <w:rPr>
          <w:sz w:val="20"/>
          <w:szCs w:val="20"/>
          <w:color w:val="auto"/>
        </w:rPr>
      </w:pPr>
      <w:r>
        <w:rPr>
          <w:rFonts w:ascii="PMingLiU" w:cs="PMingLiU" w:eastAsia="PMingLiU" w:hAnsi="PMingLiU"/>
          <w:sz w:val="12"/>
          <w:szCs w:val="12"/>
          <w:color w:val="auto"/>
          <w:highlight w:val="black"/>
        </w:rPr>
        <w:t>电话</w:t>
      </w:r>
      <w:r>
        <w:rPr>
          <w:rFonts w:ascii="Times New Roman" w:cs="Times New Roman" w:eastAsia="Times New Roman" w:hAnsi="Times New Roman"/>
          <w:sz w:val="14"/>
          <w:szCs w:val="14"/>
          <w:color w:val="auto"/>
        </w:rPr>
        <w:t xml:space="preserve"> Tel: +86 10 6563 7181 </w:t>
      </w:r>
      <w:r>
        <w:rPr>
          <w:rFonts w:ascii="PMingLiU" w:cs="PMingLiU" w:eastAsia="PMingLiU" w:hAnsi="PMingLiU"/>
          <w:sz w:val="12"/>
          <w:szCs w:val="12"/>
          <w:color w:val="auto"/>
        </w:rPr>
        <w:t>传真</w:t>
      </w:r>
      <w:r>
        <w:rPr>
          <w:rFonts w:ascii="Times New Roman" w:cs="Times New Roman" w:eastAsia="Times New Roman" w:hAnsi="Times New Roman"/>
          <w:sz w:val="14"/>
          <w:szCs w:val="14"/>
          <w:color w:val="auto"/>
        </w:rPr>
        <w:t xml:space="preserve"> Fax: +86 10 6569 3838</w:t>
      </w:r>
    </w:p>
    <w:p>
      <w:pPr>
        <w:spacing w:after="0" w:line="11" w:lineRule="exact"/>
        <w:rPr>
          <w:sz w:val="20"/>
          <w:szCs w:val="20"/>
          <w:color w:val="auto"/>
        </w:rPr>
      </w:pPr>
    </w:p>
    <w:p>
      <w:pPr>
        <w:jc w:val="center"/>
        <w:spacing w:after="0" w:line="161" w:lineRule="exact"/>
        <w:rPr>
          <w:sz w:val="20"/>
          <w:szCs w:val="20"/>
          <w:color w:val="auto"/>
        </w:rPr>
      </w:pPr>
      <w:r>
        <w:rPr>
          <w:rFonts w:ascii="PMingLiU" w:cs="PMingLiU" w:eastAsia="PMingLiU" w:hAnsi="PMingLiU"/>
          <w:sz w:val="12"/>
          <w:szCs w:val="12"/>
          <w:color w:val="auto"/>
          <w:highlight w:val="black"/>
        </w:rPr>
        <w:t>电邮</w:t>
      </w:r>
      <w:r>
        <w:rPr>
          <w:rFonts w:ascii="Times New Roman" w:cs="Times New Roman" w:eastAsia="Times New Roman" w:hAnsi="Times New Roman"/>
          <w:sz w:val="14"/>
          <w:szCs w:val="14"/>
          <w:color w:val="auto"/>
        </w:rPr>
        <w:t xml:space="preserve"> Email: beijing@tongshang.com </w:t>
      </w:r>
      <w:r>
        <w:rPr>
          <w:rFonts w:ascii="PMingLiU" w:cs="PMingLiU" w:eastAsia="PMingLiU" w:hAnsi="PMingLiU"/>
          <w:sz w:val="12"/>
          <w:szCs w:val="12"/>
          <w:color w:val="auto"/>
          <w:highlight w:val="black"/>
        </w:rPr>
        <w:t>网址</w:t>
      </w:r>
      <w:r>
        <w:rPr>
          <w:rFonts w:ascii="Times New Roman" w:cs="Times New Roman" w:eastAsia="Times New Roman" w:hAnsi="Times New Roman"/>
          <w:sz w:val="14"/>
          <w:szCs w:val="14"/>
          <w:color w:val="auto"/>
        </w:rPr>
        <w:t xml:space="preserve"> Web: www.tongshang.com</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28,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Raffles Place, #29-01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048622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We consent to the reference to our firm under the headings “Item 3. Key Information,” “Item 4. Information on the Company — B. Business Overview — Government Regulations — PRC Regulations,” “Item 6. Directors, Senior Management and Employees — Enforceability of Civil Liabilities,” “Item 7. Major Shareholders and Related Party Transactions — B. Related Party Transactions” and “Financial Statements — Notes to the Consolidated Financial Statements” in Trip.com Group Limited’s Annual Report on Form 20-F for the year ended December 31, 2025, which will be filed with the Securities and Exchange Commission in the month of April 2026, and further consent to the incorporation by reference of the summaries of our opinions under these captions into Trip.com Group Limited’s Registration Statements on Form S-8 (No. 333-116567, No. 333-136264,</w:t>
      </w:r>
    </w:p>
    <w:p>
      <w:pPr>
        <w:spacing w:after="0" w:line="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No. 333-146761, No. 333-218899, No. 333-230297 and No. 333-257784) that were filed on June 17, 2004, August 3, 2006, October 17, 2007, June 22, 2017, March 15, 2019 and July 9, 2021,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Commerce &amp; Finance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Commerce &amp; Finance Law Offices</w:t>
      </w:r>
    </w:p>
    <w:p>
      <w:pPr>
        <w:sectPr>
          <w:pgSz w:w="11900" w:h="16838" w:orient="portrait"/>
          <w:cols w:equalWidth="0" w:num="1">
            <w:col w:w="11020"/>
          </w:cols>
          <w:pgMar w:left="440" w:top="117" w:right="4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333-116567, No. 333-136264, No. 333-146761, No. 333-218899, No. 333-230297 and No. 333-257784) of Trip.com Group Limited of our report dated April 28, 2026 relating to the financial statements and the effectiveness of internal control over financial reporting, which appears in this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1."/>
      <w:numFmt w:val="decimal"/>
      <w:start w:val="3"/>
    </w:lvl>
  </w:abstractNum>
  <w:abstractNum w:abstractNumId="7">
    <w:nsid w:val="1FBFE8E0"/>
    <w:multiLevelType w:val="hybridMultilevel"/>
    <w:lvl w:ilvl="0">
      <w:lvlJc w:val="left"/>
      <w:lvlText w:val="(%1)"/>
      <w:numFmt w:val="decimal"/>
      <w:start w:val="2"/>
    </w:lvl>
  </w:abstractNum>
  <w:abstractNum w:abstractNumId="8">
    <w:nsid w:val="5092CA79"/>
    <w:multiLevelType w:val="hybridMultilevel"/>
    <w:lvl w:ilvl="0">
      <w:lvlJc w:val="left"/>
      <w:lvlText w:val="(%1)"/>
      <w:numFmt w:val="decimal"/>
      <w:start w:val="1"/>
    </w:lvl>
  </w:abstractNum>
  <w:abstractNum w:abstractNumId="9">
    <w:nsid w:val="1D545C4D"/>
    <w:multiLevelType w:val="hybridMultilevel"/>
    <w:lvl w:ilvl="0">
      <w:lvlJc w:val="left"/>
      <w:lvlText w:val="%1."/>
      <w:numFmt w:val="upperLetter"/>
      <w:start w:val="1"/>
    </w:lvl>
  </w:abstractNum>
  <w:abstractNum w:abstractNumId="10">
    <w:nsid w:val="59ADEA3D"/>
    <w:multiLevelType w:val="hybridMultilevel"/>
    <w:lvl w:ilvl="0">
      <w:lvlJc w:val="left"/>
      <w:lvlText w:val="%1."/>
      <w:numFmt w:val="upperLetter"/>
      <w:start w:val="3"/>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
      <w:numFmt w:val="bullet"/>
      <w:start w:val="1"/>
    </w:lvl>
  </w:abstractNum>
  <w:abstractNum w:abstractNumId="15">
    <w:nsid w:val="51088277"/>
    <w:multiLevelType w:val="hybridMultilevel"/>
    <w:lvl w:ilvl="0">
      <w:lvlJc w:val="left"/>
      <w:lvlText w:val="•"/>
      <w:numFmt w:val="bullet"/>
      <w:start w:val="1"/>
    </w:lvl>
  </w:abstractNum>
  <w:abstractNum w:abstractNumId="16">
    <w:nsid w:val="1CA0C5FA"/>
    <w:multiLevelType w:val="hybridMultilevel"/>
    <w:lvl w:ilvl="0">
      <w:lvlJc w:val="left"/>
      <w:lvlText w:val="•"/>
      <w:numFmt w:val="bullet"/>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
      <w:numFmt w:val="bullet"/>
      <w:start w:val="1"/>
    </w:lvl>
  </w:abstractNum>
  <w:abstractNum w:abstractNumId="26">
    <w:nsid w:val="78DF6A55"/>
    <w:multiLevelType w:val="hybridMultilevel"/>
    <w:lvl w:ilvl="0">
      <w:lvlJc w:val="left"/>
      <w:lvlText w:val="(%1)"/>
      <w:numFmt w:val="lowerRoman"/>
      <w:start w:val="1"/>
    </w:lvl>
  </w:abstractNum>
  <w:abstractNum w:abstractNumId="27">
    <w:nsid w:val="39B7AAA2"/>
    <w:multiLevelType w:val="hybridMultilevel"/>
    <w:lvl w:ilvl="0">
      <w:lvlJc w:val="left"/>
      <w:lvlText w:val="%1."/>
      <w:numFmt w:val="upperLetter"/>
      <w:start w:val="1"/>
    </w:lvl>
  </w:abstractNum>
  <w:abstractNum w:abstractNumId="28">
    <w:nsid w:val="2B0D8DBE"/>
    <w:multiLevelType w:val="hybridMultilevel"/>
    <w:lvl w:ilvl="0">
      <w:lvlJc w:val="left"/>
      <w:lvlText w:val="%1."/>
      <w:numFmt w:val="upperLetter"/>
      <w:start w:val="2"/>
    </w:lvl>
  </w:abstractNum>
  <w:abstractNum w:abstractNumId="29">
    <w:nsid w:val="6C80EC70"/>
    <w:multiLevelType w:val="hybridMultilevel"/>
    <w:lvl w:ilvl="0">
      <w:lvlJc w:val="left"/>
      <w:lvlText w:val="(%1)"/>
      <w:numFmt w:val="lowerRoman"/>
      <w:start w:val="2"/>
    </w:lvl>
  </w:abstractNum>
  <w:abstractNum w:abstractNumId="30">
    <w:nsid w:val="379E21B5"/>
    <w:multiLevelType w:val="hybridMultilevel"/>
    <w:lvl w:ilvl="0">
      <w:lvlJc w:val="left"/>
      <w:lvlText w:val="(%1)"/>
      <w:numFmt w:val="lowerRoman"/>
      <w:start w:val="2"/>
    </w:lvl>
  </w:abstractNum>
  <w:abstractNum w:abstractNumId="31">
    <w:nsid w:val="69E373"/>
    <w:multiLevelType w:val="hybridMultilevel"/>
    <w:lvl w:ilvl="0">
      <w:lvlJc w:val="left"/>
      <w:lvlText w:val="%1."/>
      <w:numFmt w:val="upperLetter"/>
      <w:start w:val="3"/>
    </w:lvl>
  </w:abstractNum>
  <w:abstractNum w:abstractNumId="32">
    <w:nsid w:val="2C27173B"/>
    <w:multiLevelType w:val="hybridMultilevel"/>
    <w:lvl w:ilvl="0">
      <w:lvlJc w:val="left"/>
      <w:lvlText w:val="(%1)"/>
      <w:numFmt w:val="decimal"/>
      <w:start w:val="1"/>
    </w:lvl>
  </w:abstractNum>
  <w:abstractNum w:abstractNumId="33">
    <w:nsid w:val="4C9B0904"/>
    <w:multiLevelType w:val="hybridMultilevel"/>
    <w:lvl w:ilvl="0">
      <w:lvlJc w:val="left"/>
      <w:lvlText w:val="%1."/>
      <w:numFmt w:val="upperLetter"/>
      <w:start w:val="4"/>
    </w:lvl>
  </w:abstractNum>
  <w:abstractNum w:abstractNumId="34">
    <w:nsid w:val="6AA7B75C"/>
    <w:multiLevelType w:val="hybridMultilevel"/>
    <w:lvl w:ilvl="0">
      <w:lvlJc w:val="left"/>
      <w:lvlText w:val="%1."/>
      <w:numFmt w:val="upperLetter"/>
      <w:start w:val="1"/>
    </w:lvl>
  </w:abstractNum>
  <w:abstractNum w:abstractNumId="35">
    <w:nsid w:val="1DF029D3"/>
    <w:multiLevelType w:val="hybridMultilevel"/>
    <w:lvl w:ilvl="0">
      <w:lvlJc w:val="left"/>
      <w:lvlText w:val="(%1)"/>
      <w:numFmt w:val="decimal"/>
      <w:start w:val="1"/>
    </w:lvl>
  </w:abstractNum>
  <w:abstractNum w:abstractNumId="36">
    <w:nsid w:val="5675FF36"/>
    <w:multiLevelType w:val="hybridMultilevel"/>
    <w:lvl w:ilvl="0">
      <w:lvlJc w:val="left"/>
      <w:lvlText w:val="(%1)"/>
      <w:numFmt w:val="decimal"/>
      <w:start w:val="1"/>
    </w:lvl>
  </w:abstractNum>
  <w:abstractNum w:abstractNumId="37">
    <w:nsid w:val="3DD15094"/>
    <w:multiLevelType w:val="hybridMultilevel"/>
    <w:lvl w:ilvl="0">
      <w:lvlJc w:val="left"/>
      <w:lvlText w:val="(%1)"/>
      <w:numFmt w:val="decimal"/>
      <w:start w:val="1"/>
    </w:lvl>
  </w:abstractNum>
  <w:abstractNum w:abstractNumId="38">
    <w:nsid w:val="3DB012B3"/>
    <w:multiLevelType w:val="hybridMultilevel"/>
    <w:lvl w:ilvl="0">
      <w:lvlJc w:val="left"/>
      <w:lvlText w:val="(%1)"/>
      <w:numFmt w:val="lowerRoman"/>
      <w:start w:val="1"/>
    </w:lvl>
  </w:abstractNum>
  <w:abstractNum w:abstractNumId="39">
    <w:nsid w:val="2708C9AF"/>
    <w:multiLevelType w:val="hybridMultilevel"/>
    <w:lvl w:ilvl="0">
      <w:lvlJc w:val="left"/>
      <w:lvlText w:val="•"/>
      <w:numFmt w:val="bullet"/>
      <w:start w:val="1"/>
    </w:lvl>
  </w:abstractNum>
  <w:abstractNum w:abstractNumId="40">
    <w:nsid w:val="5B25ACE2"/>
    <w:multiLevelType w:val="hybridMultilevel"/>
    <w:lvl w:ilvl="0">
      <w:lvlJc w:val="left"/>
      <w:lvlText w:val="(%1)"/>
      <w:numFmt w:val="decimal"/>
      <w:start w:val="1"/>
    </w:lvl>
  </w:abstractNum>
  <w:abstractNum w:abstractNumId="41">
    <w:nsid w:val="175DFCF0"/>
    <w:multiLevelType w:val="hybridMultilevel"/>
    <w:lvl w:ilvl="0">
      <w:lvlJc w:val="left"/>
      <w:lvlText w:val="*"/>
      <w:numFmt w:val="bullet"/>
      <w:start w:val="1"/>
    </w:lvl>
  </w:abstractNum>
  <w:abstractNum w:abstractNumId="42">
    <w:nsid w:val="4F97E3E4"/>
    <w:multiLevelType w:val="hybridMultilevel"/>
    <w:lvl w:ilvl="0">
      <w:lvlJc w:val="left"/>
      <w:lvlText w:val="•"/>
      <w:numFmt w:val="bullet"/>
      <w:start w:val="1"/>
    </w:lvl>
  </w:abstractNum>
  <w:abstractNum w:abstractNumId="43">
    <w:nsid w:val="53B0A9E"/>
    <w:multiLevelType w:val="hybridMultilevel"/>
    <w:lvl w:ilvl="0">
      <w:lvlJc w:val="left"/>
      <w:lvlText w:val="*"/>
      <w:numFmt w:val="bullet"/>
      <w:start w:val="1"/>
    </w:lvl>
  </w:abstractNum>
  <w:abstractNum w:abstractNumId="44">
    <w:nsid w:val="34FD6B4F"/>
    <w:multiLevelType w:val="hybridMultilevel"/>
    <w:lvl w:ilvl="0">
      <w:lvlJc w:val="left"/>
      <w:lvlText w:val="(%1)"/>
      <w:numFmt w:val="decimal"/>
      <w:start w:val="1"/>
    </w:lvl>
  </w:abstractNum>
  <w:abstractNum w:abstractNumId="45">
    <w:nsid w:val="5915FF32"/>
    <w:multiLevelType w:val="hybridMultilevel"/>
    <w:lvl w:ilvl="0">
      <w:lvlJc w:val="left"/>
      <w:lvlText w:val="(%1)"/>
      <w:numFmt w:val="decimal"/>
      <w:start w:val="9"/>
    </w:lvl>
  </w:abstractNum>
  <w:abstractNum w:abstractNumId="46">
    <w:nsid w:val="56438D15"/>
    <w:multiLevelType w:val="hybridMultilevel"/>
    <w:lvl w:ilvl="0">
      <w:lvlJc w:val="left"/>
      <w:lvlText w:val="•"/>
      <w:numFmt w:val="bullet"/>
      <w:start w:val="1"/>
    </w:lvl>
  </w:abstractNum>
  <w:abstractNum w:abstractNumId="47">
    <w:nsid w:val="519E3149"/>
    <w:multiLevelType w:val="hybridMultilevel"/>
    <w:lvl w:ilvl="0">
      <w:lvlJc w:val="left"/>
      <w:lvlText w:val="•"/>
      <w:numFmt w:val="bullet"/>
      <w:start w:val="1"/>
    </w:lvl>
  </w:abstractNum>
  <w:abstractNum w:abstractNumId="48">
    <w:nsid w:val="2C6E4AFD"/>
    <w:multiLevelType w:val="hybridMultilevel"/>
    <w:lvl w:ilvl="0">
      <w:lvlJc w:val="left"/>
      <w:lvlText w:val="(%1)"/>
      <w:numFmt w:val="lowerRoman"/>
      <w:start w:val="1"/>
    </w:lvl>
  </w:abstractNum>
  <w:abstractNum w:abstractNumId="49">
    <w:nsid w:val="17A1B582"/>
    <w:multiLevelType w:val="hybridMultilevel"/>
    <w:lvl w:ilvl="0">
      <w:lvlJc w:val="left"/>
      <w:lvlText w:val="%1."/>
      <w:numFmt w:val="upperLetter"/>
      <w:start w:val="5"/>
    </w:lvl>
  </w:abstractNum>
  <w:abstractNum w:abstractNumId="50">
    <w:nsid w:val="4DF72E4E"/>
    <w:multiLevelType w:val="hybridMultilevel"/>
    <w:lvl w:ilvl="0">
      <w:lvlJc w:val="left"/>
      <w:lvlText w:val="%1."/>
      <w:numFmt w:val="upperLetter"/>
      <w:start w:val="1"/>
    </w:lvl>
  </w:abstractNum>
  <w:abstractNum w:abstractNumId="51">
    <w:nsid w:val="5046B5A9"/>
    <w:multiLevelType w:val="hybridMultilevel"/>
    <w:lvl w:ilvl="0">
      <w:lvlJc w:val="left"/>
      <w:lvlText w:val="(%1)"/>
      <w:numFmt w:val="lowerRoman"/>
      <w:start w:val="2"/>
    </w:lvl>
  </w:abstractNum>
  <w:abstractNum w:abstractNumId="52">
    <w:nsid w:val="5D888A08"/>
    <w:multiLevelType w:val="hybridMultilevel"/>
    <w:lvl w:ilvl="0">
      <w:lvlJc w:val="left"/>
      <w:lvlText w:val="•"/>
      <w:numFmt w:val="bullet"/>
      <w:start w:val="1"/>
    </w:lvl>
  </w:abstractNum>
  <w:abstractNum w:abstractNumId="53">
    <w:nsid w:val="2A082C70"/>
    <w:multiLevelType w:val="hybridMultilevel"/>
    <w:lvl w:ilvl="0">
      <w:lvlJc w:val="left"/>
      <w:lvlText w:val="•"/>
      <w:numFmt w:val="bullet"/>
      <w:start w:val="1"/>
    </w:lvl>
  </w:abstractNum>
  <w:abstractNum w:abstractNumId="54">
    <w:nsid w:val="5EC6AFD4"/>
    <w:multiLevelType w:val="hybridMultilevel"/>
    <w:lvl w:ilvl="0">
      <w:lvlJc w:val="left"/>
      <w:lvlText w:val="(%1)"/>
      <w:numFmt w:val="lowerRoman"/>
      <w:start w:val="2"/>
    </w:lvl>
  </w:abstractNum>
  <w:abstractNum w:abstractNumId="55">
    <w:nsid w:val="19E21BB2"/>
    <w:multiLevelType w:val="hybridMultilevel"/>
    <w:lvl w:ilvl="0">
      <w:lvlJc w:val="left"/>
      <w:lvlText w:val="•"/>
      <w:numFmt w:val="bullet"/>
      <w:start w:val="1"/>
    </w:lvl>
  </w:abstractNum>
  <w:abstractNum w:abstractNumId="56">
    <w:nsid w:val="75E0858A"/>
    <w:multiLevelType w:val="hybridMultilevel"/>
    <w:lvl w:ilvl="0">
      <w:lvlJc w:val="left"/>
      <w:lvlText w:val="%1."/>
      <w:numFmt w:val="upperLetter"/>
      <w:start w:val="3"/>
    </w:lvl>
  </w:abstractNum>
  <w:abstractNum w:abstractNumId="57">
    <w:nsid w:val="57A61A29"/>
    <w:multiLevelType w:val="hybridMultilevel"/>
    <w:lvl w:ilvl="0">
      <w:lvlJc w:val="left"/>
      <w:lvlText w:val="%1."/>
      <w:numFmt w:val="upperLetter"/>
      <w:start w:val="4"/>
    </w:lvl>
  </w:abstractNum>
  <w:abstractNum w:abstractNumId="58">
    <w:nsid w:val="5399C654"/>
    <w:multiLevelType w:val="hybridMultilevel"/>
    <w:lvl w:ilvl="0">
      <w:lvlJc w:val="left"/>
      <w:lvlText w:val="%1."/>
      <w:numFmt w:val="upperLetter"/>
      <w:start w:val="5"/>
    </w:lvl>
  </w:abstractNum>
  <w:abstractNum w:abstractNumId="59">
    <w:nsid w:val="20EE1348"/>
    <w:multiLevelType w:val="hybridMultilevel"/>
    <w:lvl w:ilvl="0">
      <w:lvlJc w:val="left"/>
      <w:lvlText w:val="•"/>
      <w:numFmt w:val="bullet"/>
      <w:start w:val="1"/>
    </w:lvl>
  </w:abstractNum>
  <w:abstractNum w:abstractNumId="60">
    <w:nsid w:val="4427069A"/>
    <w:multiLevelType w:val="hybridMultilevel"/>
    <w:lvl w:ilvl="0">
      <w:lvlJc w:val="left"/>
      <w:lvlText w:val="•"/>
      <w:numFmt w:val="bullet"/>
      <w:start w:val="1"/>
    </w:lvl>
  </w:abstractNum>
  <w:abstractNum w:abstractNumId="61">
    <w:nsid w:val="B37E80A"/>
    <w:multiLevelType w:val="hybridMultilevel"/>
    <w:lvl w:ilvl="0">
      <w:lvlJc w:val="left"/>
      <w:lvlText w:val="•"/>
      <w:numFmt w:val="bullet"/>
      <w:start w:val="1"/>
    </w:lvl>
  </w:abstractNum>
  <w:abstractNum w:abstractNumId="62">
    <w:nsid w:val="2157F6BC"/>
    <w:multiLevelType w:val="hybridMultilevel"/>
    <w:lvl w:ilvl="0">
      <w:lvlJc w:val="left"/>
      <w:lvlText w:val="%1."/>
      <w:numFmt w:val="upperLetter"/>
      <w:start w:val="6"/>
    </w:lvl>
  </w:abstractNum>
  <w:abstractNum w:abstractNumId="63">
    <w:nsid w:val="704E1DD5"/>
    <w:multiLevelType w:val="hybridMultilevel"/>
    <w:lvl w:ilvl="0">
      <w:lvlJc w:val="left"/>
      <w:lvlText w:val="%1."/>
      <w:numFmt w:val="upperLetter"/>
      <w:start w:val="9"/>
    </w:lvl>
  </w:abstractNum>
  <w:abstractNum w:abstractNumId="64">
    <w:nsid w:val="57D2F10E"/>
    <w:multiLevelType w:val="hybridMultilevel"/>
    <w:lvl w:ilvl="0">
      <w:lvlJc w:val="left"/>
      <w:lvlText w:val="%1."/>
      <w:numFmt w:val="upperLetter"/>
      <w:start w:val="1"/>
    </w:lvl>
  </w:abstractNum>
  <w:abstractNum w:abstractNumId="65">
    <w:nsid w:val="BFFAE18"/>
    <w:multiLevelType w:val="hybridMultilevel"/>
    <w:lvl w:ilvl="0">
      <w:lvlJc w:val="left"/>
      <w:lvlText w:val="•"/>
      <w:numFmt w:val="bullet"/>
      <w:start w:val="1"/>
    </w:lvl>
  </w:abstractNum>
  <w:abstractNum w:abstractNumId="66">
    <w:nsid w:val="E3E47A8"/>
    <w:multiLevelType w:val="hybridMultilevel"/>
    <w:lvl w:ilvl="0">
      <w:lvlJc w:val="left"/>
      <w:lvlText w:val="•"/>
      <w:numFmt w:val="bullet"/>
      <w:start w:val="1"/>
    </w:lvl>
  </w:abstractNum>
  <w:abstractNum w:abstractNumId="67">
    <w:nsid w:val="2E48F044"/>
    <w:multiLevelType w:val="hybridMultilevel"/>
    <w:lvl w:ilvl="0">
      <w:lvlJc w:val="left"/>
      <w:lvlText w:val="•"/>
      <w:numFmt w:val="bullet"/>
      <w:start w:val="1"/>
    </w:lvl>
  </w:abstractNum>
  <w:abstractNum w:abstractNumId="68">
    <w:nsid w:val="49D0FEAC"/>
    <w:multiLevelType w:val="hybridMultilevel"/>
    <w:lvl w:ilvl="0">
      <w:lvlJc w:val="left"/>
      <w:lvlText w:val="•"/>
      <w:numFmt w:val="bullet"/>
      <w:start w:val="1"/>
    </w:lvl>
  </w:abstractNum>
  <w:abstractNum w:abstractNumId="69">
    <w:nsid w:val="4BEE5A5B"/>
    <w:multiLevelType w:val="hybridMultilevel"/>
    <w:lvl w:ilvl="0">
      <w:lvlJc w:val="left"/>
      <w:lvlText w:val="•"/>
      <w:numFmt w:val="bullet"/>
      <w:start w:val="1"/>
    </w:lvl>
  </w:abstractNum>
  <w:abstractNum w:abstractNumId="70">
    <w:nsid w:val="5551B9F3"/>
    <w:multiLevelType w:val="hybridMultilevel"/>
    <w:lvl w:ilvl="0">
      <w:lvlJc w:val="left"/>
      <w:lvlText w:val="•"/>
      <w:numFmt w:val="bullet"/>
      <w:start w:val="1"/>
    </w:lvl>
  </w:abstractNum>
  <w:abstractNum w:abstractNumId="71">
    <w:nsid w:val="24F6AB8E"/>
    <w:multiLevelType w:val="hybridMultilevel"/>
    <w:lvl w:ilvl="0">
      <w:lvlJc w:val="left"/>
      <w:lvlText w:val="•"/>
      <w:numFmt w:val="bullet"/>
      <w:start w:val="1"/>
    </w:lvl>
  </w:abstractNum>
  <w:abstractNum w:abstractNumId="72">
    <w:nsid w:val="634C574C"/>
    <w:multiLevelType w:val="hybridMultilevel"/>
    <w:lvl w:ilvl="0">
      <w:lvlJc w:val="left"/>
      <w:lvlText w:val="•"/>
      <w:numFmt w:val="bullet"/>
      <w:start w:val="1"/>
    </w:lvl>
  </w:abstractNum>
  <w:abstractNum w:abstractNumId="73">
    <w:nsid w:val="24E99DD7"/>
    <w:multiLevelType w:val="hybridMultilevel"/>
    <w:lvl w:ilvl="0">
      <w:lvlJc w:val="left"/>
      <w:lvlText w:val="•"/>
      <w:numFmt w:val="bullet"/>
      <w:start w:val="1"/>
    </w:lvl>
  </w:abstractNum>
  <w:abstractNum w:abstractNumId="74">
    <w:nsid w:val="2A31B62D"/>
    <w:multiLevelType w:val="hybridMultilevel"/>
    <w:lvl w:ilvl="0">
      <w:lvlJc w:val="left"/>
      <w:lvlText w:val="•"/>
      <w:numFmt w:val="bullet"/>
      <w:start w:val="1"/>
    </w:lvl>
  </w:abstractNum>
  <w:abstractNum w:abstractNumId="75">
    <w:nsid w:val="1849C29B"/>
    <w:multiLevelType w:val="hybridMultilevel"/>
    <w:lvl w:ilvl="0">
      <w:lvlJc w:val="left"/>
      <w:lvlText w:val="(%1)"/>
      <w:numFmt w:val="decimal"/>
      <w:start w:val="1"/>
    </w:lvl>
  </w:abstractNum>
  <w:abstractNum w:abstractNumId="76">
    <w:nsid w:val="7DFF9D09"/>
    <w:multiLevelType w:val="hybridMultilevel"/>
    <w:lvl w:ilvl="0">
      <w:lvlJc w:val="left"/>
      <w:lvlText w:val="(%1)"/>
      <w:numFmt w:val="decimal"/>
      <w:start w:val="1"/>
    </w:lvl>
  </w:abstractNum>
  <w:abstractNum w:abstractNumId="77">
    <w:nsid w:val="754342"/>
    <w:multiLevelType w:val="hybridMultilevel"/>
    <w:lvl w:ilvl="0">
      <w:lvlJc w:val="left"/>
      <w:lvlText w:val="%1"/>
      <w:numFmt w:val="decimal"/>
      <w:start w:val="97"/>
    </w:lvl>
  </w:abstractNum>
  <w:abstractNum w:abstractNumId="78">
    <w:nsid w:val="69E7F3E5"/>
    <w:multiLevelType w:val="hybridMultilevel"/>
    <w:lvl w:ilvl="0">
      <w:lvlJc w:val="left"/>
      <w:lvlText w:val="*"/>
      <w:numFmt w:val="bullet"/>
      <w:start w:val="1"/>
    </w:lvl>
  </w:abstractNum>
  <w:abstractNum w:abstractNumId="79">
    <w:nsid w:val="2A6DE806"/>
    <w:multiLevelType w:val="hybridMultilevel"/>
    <w:lvl w:ilvl="0">
      <w:lvlJc w:val="left"/>
      <w:lvlText w:val="**"/>
      <w:numFmt w:val="bullet"/>
      <w:start w:val="1"/>
    </w:lvl>
  </w:abstractNum>
  <w:abstractNum w:abstractNumId="80">
    <w:nsid w:val="1816F8C4"/>
    <w:multiLevelType w:val="hybridMultilevel"/>
    <w:lvl w:ilvl="0">
      <w:lvlJc w:val="left"/>
      <w:lvlText w:val="*"/>
      <w:numFmt w:val="bullet"/>
      <w:start w:val="1"/>
    </w:lvl>
  </w:abstractNum>
  <w:abstractNum w:abstractNumId="81">
    <w:nsid w:val="37DF2233"/>
    <w:multiLevelType w:val="hybridMultilevel"/>
    <w:lvl w:ilvl="0">
      <w:lvlJc w:val="left"/>
      <w:lvlText w:val="%1."/>
      <w:numFmt w:val="decimal"/>
      <w:start w:val="1"/>
    </w:lvl>
  </w:abstractNum>
  <w:abstractNum w:abstractNumId="82">
    <w:nsid w:val="7AB49DAF"/>
    <w:multiLevelType w:val="hybridMultilevel"/>
    <w:lvl w:ilvl="0">
      <w:lvlJc w:val="left"/>
      <w:lvlText w:val="%1."/>
      <w:numFmt w:val="decimal"/>
      <w:start w:val="2"/>
    </w:lvl>
  </w:abstractNum>
  <w:abstractNum w:abstractNumId="83">
    <w:nsid w:val="759F82CD"/>
    <w:multiLevelType w:val="hybridMultilevel"/>
    <w:lvl w:ilvl="0">
      <w:lvlJc w:val="left"/>
      <w:lvlText w:val="(%1)"/>
      <w:numFmt w:val="lowerLetter"/>
      <w:start w:val="1"/>
    </w:lvl>
  </w:abstractNum>
  <w:abstractNum w:abstractNumId="84">
    <w:nsid w:val="61E74EA3"/>
    <w:multiLevelType w:val="hybridMultilevel"/>
    <w:lvl w:ilvl="0">
      <w:lvlJc w:val="left"/>
      <w:lvlText w:val="%1."/>
      <w:numFmt w:val="decimal"/>
      <w:start w:val="3"/>
    </w:lvl>
  </w:abstractNum>
  <w:abstractNum w:abstractNumId="85">
    <w:nsid w:val="597B4D84"/>
    <w:multiLevelType w:val="hybridMultilevel"/>
    <w:lvl w:ilvl="0">
      <w:lvlJc w:val="left"/>
      <w:lvlText w:val="%1."/>
      <w:numFmt w:val="decimal"/>
      <w:start w:val="4"/>
    </w:lvl>
  </w:abstractNum>
  <w:abstractNum w:abstractNumId="86">
    <w:nsid w:val="F819E7F"/>
    <w:multiLevelType w:val="hybridMultilevel"/>
    <w:lvl w:ilvl="0">
      <w:lvlJc w:val="left"/>
      <w:lvlText w:val="%1."/>
      <w:numFmt w:val="decimal"/>
      <w:start w:val="5"/>
    </w:lvl>
  </w:abstractNum>
  <w:abstractNum w:abstractNumId="87">
    <w:nsid w:val="57C7D42D"/>
    <w:multiLevelType w:val="hybridMultilevel"/>
    <w:lvl w:ilvl="0">
      <w:lvlJc w:val="left"/>
      <w:lvlText w:val="%1."/>
      <w:numFmt w:val="decimal"/>
      <w:start w:val="6"/>
    </w:lvl>
  </w:abstractNum>
  <w:abstractNum w:abstractNumId="88">
    <w:nsid w:val="312167AD"/>
    <w:multiLevelType w:val="hybridMultilevel"/>
    <w:lvl w:ilvl="0">
      <w:lvlJc w:val="left"/>
      <w:lvlText w:val="%1."/>
      <w:numFmt w:val="decimal"/>
      <w:start w:val="7"/>
    </w:lvl>
  </w:abstractNum>
  <w:abstractNum w:abstractNumId="89">
    <w:nsid w:val="631B64D4"/>
    <w:multiLevelType w:val="hybridMultilevel"/>
    <w:lvl w:ilvl="0">
      <w:lvlJc w:val="left"/>
      <w:lvlText w:val="%1."/>
      <w:numFmt w:val="decimal"/>
      <w:start w:val="8"/>
    </w:lvl>
  </w:abstractNum>
  <w:abstractNum w:abstractNumId="90">
    <w:nsid w:val="78B5E776"/>
    <w:multiLevelType w:val="hybridMultilevel"/>
    <w:lvl w:ilvl="0">
      <w:lvlJc w:val="left"/>
      <w:lvlText w:val="%1."/>
      <w:numFmt w:val="decimal"/>
      <w:start w:val="9"/>
    </w:lvl>
  </w:abstractNum>
  <w:abstractNum w:abstractNumId="91">
    <w:nsid w:val="75486E47"/>
    <w:multiLevelType w:val="hybridMultilevel"/>
    <w:lvl w:ilvl="0">
      <w:lvlJc w:val="left"/>
      <w:lvlText w:val="%1."/>
      <w:numFmt w:val="decimal"/>
      <w:start w:val="11"/>
    </w:lvl>
  </w:abstractNum>
  <w:abstractNum w:abstractNumId="92">
    <w:nsid w:val="6E534CDE"/>
    <w:multiLevelType w:val="hybridMultilevel"/>
    <w:lvl w:ilvl="0">
      <w:lvlJc w:val="left"/>
      <w:lvlText w:val="%1."/>
      <w:numFmt w:val="decimal"/>
      <w:start w:val="13"/>
    </w:lvl>
  </w:abstractNum>
  <w:abstractNum w:abstractNumId="93">
    <w:nsid w:val="1A0DDE32"/>
    <w:multiLevelType w:val="hybridMultilevel"/>
    <w:lvl w:ilvl="0">
      <w:lvlJc w:val="left"/>
      <w:lvlText w:val="(%1)"/>
      <w:numFmt w:val="lowerLetter"/>
      <w:start w:val="1"/>
    </w:lvl>
  </w:abstractNum>
  <w:abstractNum w:abstractNumId="94">
    <w:nsid w:val="65968C1C"/>
    <w:multiLevelType w:val="hybridMultilevel"/>
    <w:lvl w:ilvl="0">
      <w:lvlJc w:val="left"/>
      <w:lvlText w:val="%1."/>
      <w:numFmt w:val="decimal"/>
      <w:start w:val="14"/>
    </w:lvl>
  </w:abstractNum>
  <w:abstractNum w:abstractNumId="95">
    <w:nsid w:val="46263DEC"/>
    <w:multiLevelType w:val="hybridMultilevel"/>
    <w:lvl w:ilvl="0">
      <w:lvlJc w:val="left"/>
      <w:lvlText w:val="%1."/>
      <w:numFmt w:val="decimal"/>
      <w:start w:val="15"/>
    </w:lvl>
  </w:abstractNum>
  <w:abstractNum w:abstractNumId="96">
    <w:nsid w:val="260D8C4A"/>
    <w:multiLevelType w:val="hybridMultilevel"/>
    <w:lvl w:ilvl="0">
      <w:lvlJc w:val="left"/>
      <w:lvlText w:val="%1."/>
      <w:numFmt w:val="decimal"/>
      <w:start w:val="18"/>
    </w:lvl>
  </w:abstractNum>
  <w:abstractNum w:abstractNumId="97">
    <w:nsid w:val="73D4D3C4"/>
    <w:multiLevelType w:val="hybridMultilevel"/>
    <w:lvl w:ilvl="0">
      <w:lvlJc w:val="left"/>
      <w:lvlText w:val="%1."/>
      <w:numFmt w:val="decimal"/>
      <w:start w:val="19"/>
    </w:lvl>
  </w:abstractNum>
  <w:abstractNum w:abstractNumId="98">
    <w:nsid w:val="746F2E30"/>
    <w:multiLevelType w:val="hybridMultilevel"/>
    <w:lvl w:ilvl="0">
      <w:lvlJc w:val="left"/>
      <w:lvlText w:val="%1."/>
      <w:numFmt w:val="decimal"/>
      <w:start w:val="20"/>
    </w:lvl>
  </w:abstractNum>
  <w:abstractNum w:abstractNumId="99">
    <w:nsid w:val="6FDE8AF6"/>
    <w:multiLevelType w:val="hybridMultilevel"/>
    <w:lvl w:ilvl="0">
      <w:lvlJc w:val="left"/>
      <w:lvlText w:val="%1."/>
      <w:numFmt w:val="decimal"/>
      <w:start w:val="21"/>
    </w:lvl>
  </w:abstractNum>
  <w:abstractNum w:abstractNumId="100">
    <w:nsid w:val="3FC32E20"/>
    <w:multiLevelType w:val="hybridMultilevel"/>
    <w:lvl w:ilvl="0">
      <w:lvlJc w:val="left"/>
      <w:lvlText w:val="(%1)"/>
      <w:numFmt w:val="decimal"/>
      <w:start w:val="1"/>
    </w:lvl>
  </w:abstractNum>
  <w:abstractNum w:abstractNumId="101">
    <w:nsid w:val="49C0E823"/>
    <w:multiLevelType w:val="hybridMultilevel"/>
    <w:lvl w:ilvl="0">
      <w:lvlJc w:val="left"/>
      <w:lvlText w:val="(%1)"/>
      <w:numFmt w:val="decimal"/>
      <w:start w:val="2"/>
    </w:lvl>
  </w:abstractNum>
  <w:abstractNum w:abstractNumId="102">
    <w:nsid w:val="14D53685"/>
    <w:multiLevelType w:val="hybridMultilevel"/>
    <w:lvl w:ilvl="0">
      <w:lvlJc w:val="left"/>
      <w:lvlText w:val="(%1)"/>
      <w:numFmt w:val="decimal"/>
      <w:start w:val="1"/>
    </w:lvl>
  </w:abstractNum>
  <w:abstractNum w:abstractNumId="103">
    <w:nsid w:val="230F856C"/>
    <w:multiLevelType w:val="hybridMultilevel"/>
    <w:lvl w:ilvl="0">
      <w:lvlJc w:val="left"/>
      <w:lvlText w:val="%1."/>
      <w:numFmt w:val="decimal"/>
      <w:start w:val="1"/>
    </w:lvl>
  </w:abstractNum>
  <w:abstractNum w:abstractNumId="104">
    <w:nsid w:val="6EAA85FB"/>
    <w:multiLevelType w:val="hybridMultilevel"/>
    <w:lvl w:ilvl="0">
      <w:lvlJc w:val="left"/>
      <w:lvlText w:val="%1"/>
      <w:numFmt w:val="decimal"/>
      <w:start w:val="1"/>
    </w:lvl>
    <w:lvl w:ilvl="1">
      <w:lvlJc w:val="left"/>
      <w:lvlText w:val="(%2)"/>
      <w:numFmt w:val="decimal"/>
      <w:start w:val="2"/>
    </w:lvl>
  </w:abstractNum>
  <w:abstractNum w:abstractNumId="105">
    <w:nsid w:val="3F06ECB2"/>
    <w:multiLevelType w:val="hybridMultilevel"/>
    <w:lvl w:ilvl="0">
      <w:lvlJc w:val="left"/>
      <w:lvlText w:val="%1."/>
      <w:numFmt w:val="decimal"/>
      <w:start w:val="4"/>
    </w:lvl>
    <w:lvl w:ilvl="1">
      <w:lvlJc w:val="left"/>
      <w:lvlText w:val="%2"/>
      <w:numFmt w:val="decimal"/>
      <w:start w:val="1"/>
    </w:lvl>
  </w:abstractNum>
  <w:abstractNum w:abstractNumId="106">
    <w:nsid w:val="3B594807"/>
    <w:multiLevelType w:val="hybridMultilevel"/>
    <w:lvl w:ilvl="0">
      <w:lvlJc w:val="left"/>
      <w:lvlText w:val="%1."/>
      <w:numFmt w:val="decimal"/>
      <w:start w:val="5"/>
    </w:lvl>
  </w:abstractNum>
  <w:abstractNum w:abstractNumId="107">
    <w:nsid w:val="6CAA2304"/>
    <w:multiLevelType w:val="hybridMultilevel"/>
    <w:lvl w:ilvl="0">
      <w:lvlJc w:val="left"/>
      <w:lvlText w:val="%1."/>
      <w:numFmt w:val="decimal"/>
      <w:start w:val="6"/>
    </w:lvl>
  </w:abstractNum>
  <w:abstractNum w:abstractNumId="108">
    <w:nsid w:val="3F7C2FF4"/>
    <w:multiLevelType w:val="hybridMultilevel"/>
    <w:lvl w:ilvl="0">
      <w:lvlJc w:val="left"/>
      <w:lvlText w:val="(%1)"/>
      <w:numFmt w:val="decimal"/>
      <w:start w:val="15"/>
    </w:lvl>
  </w:abstractNum>
  <w:abstractNum w:abstractNumId="109">
    <w:nsid w:val="25413BEC"/>
    <w:multiLevelType w:val="hybridMultilevel"/>
    <w:lvl w:ilvl="0">
      <w:lvlJc w:val="left"/>
      <w:lvlText w:val="%1."/>
      <w:numFmt w:val="decimal"/>
      <w:start w:val="7"/>
    </w:lvl>
  </w:abstractNum>
  <w:abstractNum w:abstractNumId="110">
    <w:nsid w:val="17180B0B"/>
    <w:multiLevelType w:val="hybridMultilevel"/>
    <w:lvl w:ilvl="0">
      <w:lvlJc w:val="left"/>
      <w:lvlText w:val="%1."/>
      <w:numFmt w:val="decimal"/>
      <w:start w:val="8"/>
    </w:lvl>
  </w:abstractNum>
  <w:abstractNum w:abstractNumId="111">
    <w:nsid w:val="579328B9"/>
    <w:multiLevelType w:val="hybridMultilevel"/>
    <w:lvl w:ilvl="0">
      <w:lvlJc w:val="left"/>
      <w:lvlText w:val="(%1)"/>
      <w:numFmt w:val="decimal"/>
      <w:start w:val="1"/>
    </w:lvl>
  </w:abstractNum>
  <w:abstractNum w:abstractNumId="112">
    <w:nsid w:val="5D205E20"/>
    <w:multiLevelType w:val="hybridMultilevel"/>
    <w:lvl w:ilvl="0">
      <w:lvlJc w:val="left"/>
      <w:lvlText w:val="(%1)"/>
      <w:numFmt w:val="decimal"/>
      <w:start w:val="3"/>
    </w:lvl>
  </w:abstractNum>
  <w:abstractNum w:abstractNumId="113">
    <w:nsid w:val="11CCA8BA"/>
    <w:multiLevelType w:val="hybridMultilevel"/>
    <w:lvl w:ilvl="0">
      <w:lvlJc w:val="left"/>
      <w:lvlText w:val="%1."/>
      <w:numFmt w:val="decimal"/>
      <w:start w:val="9"/>
    </w:lvl>
  </w:abstractNum>
  <w:abstractNum w:abstractNumId="114">
    <w:nsid w:val="4D32AB86"/>
    <w:multiLevelType w:val="hybridMultilevel"/>
    <w:lvl w:ilvl="0">
      <w:lvlJc w:val="left"/>
      <w:lvlText w:val="%1."/>
      <w:numFmt w:val="decimal"/>
      <w:start w:val="10"/>
    </w:lvl>
  </w:abstractNum>
  <w:abstractNum w:abstractNumId="115">
    <w:nsid w:val="3F07ACC3"/>
    <w:multiLevelType w:val="hybridMultilevel"/>
    <w:lvl w:ilvl="0">
      <w:lvlJc w:val="left"/>
      <w:lvlText w:val="%1."/>
      <w:numFmt w:val="decimal"/>
      <w:start w:val="11"/>
    </w:lvl>
  </w:abstractNum>
  <w:abstractNum w:abstractNumId="116">
    <w:nsid w:val="6B47F63E"/>
    <w:multiLevelType w:val="hybridMultilevel"/>
    <w:lvl w:ilvl="0">
      <w:lvlJc w:val="left"/>
      <w:lvlText w:val="%1."/>
      <w:numFmt w:val="decimal"/>
      <w:start w:val="12"/>
    </w:lvl>
  </w:abstractNum>
  <w:abstractNum w:abstractNumId="117">
    <w:nsid w:val="5CB44A05"/>
    <w:multiLevelType w:val="hybridMultilevel"/>
    <w:lvl w:ilvl="0">
      <w:lvlJc w:val="left"/>
      <w:lvlText w:val="%1."/>
      <w:numFmt w:val="decimal"/>
      <w:start w:val="13"/>
    </w:lvl>
  </w:abstractNum>
  <w:abstractNum w:abstractNumId="118">
    <w:nsid w:val="16CF80F1"/>
    <w:multiLevelType w:val="hybridMultilevel"/>
    <w:lvl w:ilvl="0">
      <w:lvlJc w:val="left"/>
      <w:lvlText w:val="%1."/>
      <w:numFmt w:val="decimal"/>
      <w:start w:val="14"/>
    </w:lvl>
  </w:abstractNum>
  <w:abstractNum w:abstractNumId="119">
    <w:nsid w:val="1C695DEC"/>
    <w:multiLevelType w:val="hybridMultilevel"/>
    <w:lvl w:ilvl="0">
      <w:lvlJc w:val="left"/>
      <w:lvlText w:val="%1."/>
      <w:numFmt w:val="decimal"/>
      <w:start w:val="15"/>
    </w:lvl>
  </w:abstractNum>
  <w:abstractNum w:abstractNumId="120">
    <w:nsid w:val="3FCFAED9"/>
    <w:multiLevelType w:val="hybridMultilevel"/>
    <w:lvl w:ilvl="0">
      <w:lvlJc w:val="left"/>
      <w:lvlText w:val="(%1)"/>
      <w:numFmt w:val="decimal"/>
      <w:start w:val="1"/>
    </w:lvl>
  </w:abstractNum>
  <w:abstractNum w:abstractNumId="121">
    <w:nsid w:val="F856867"/>
    <w:multiLevelType w:val="hybridMultilevel"/>
    <w:lvl w:ilvl="0">
      <w:lvlJc w:val="left"/>
      <w:lvlText w:val="%1."/>
      <w:numFmt w:val="decimal"/>
      <w:start w:val="1"/>
    </w:lvl>
    <w:lvl w:ilvl="1">
      <w:lvlJc w:val="left"/>
      <w:lvlText w:val="(%2)"/>
      <w:numFmt w:val="decimal"/>
      <w:start w:val="1"/>
    </w:lvl>
  </w:abstractNum>
  <w:abstractNum w:abstractNumId="122">
    <w:nsid w:val="11B1CC33"/>
    <w:multiLevelType w:val="hybridMultilevel"/>
    <w:lvl w:ilvl="0">
      <w:lvlJc w:val="left"/>
      <w:lvlText w:val="*"/>
      <w:numFmt w:val="bullet"/>
      <w:start w:val="1"/>
    </w:lvl>
  </w:abstractNum>
  <w:abstractNum w:abstractNumId="123">
    <w:nsid w:val="2E22FBB7"/>
    <w:multiLevelType w:val="hybridMultilevel"/>
    <w:lvl w:ilvl="0">
      <w:lvlJc w:val="left"/>
      <w:lvlText w:val="(%1)"/>
      <w:numFmt w:val="decimal"/>
      <w:start w:val="1"/>
    </w:lvl>
  </w:abstractNum>
  <w:abstractNum w:abstractNumId="124">
    <w:nsid w:val="29934699"/>
    <w:multiLevelType w:val="hybridMultilevel"/>
    <w:lvl w:ilvl="0">
      <w:lvlJc w:val="left"/>
      <w:lvlText w:val="(%1)"/>
      <w:numFmt w:val="decimal"/>
      <w:start w:val="2"/>
    </w:lvl>
  </w:abstractNum>
  <w:abstractNum w:abstractNumId="125">
    <w:nsid w:val="77485850"/>
    <w:multiLevelType w:val="hybridMultilevel"/>
    <w:lvl w:ilvl="0">
      <w:lvlJc w:val="left"/>
      <w:lvlText w:val="(%1)"/>
      <w:numFmt w:val="decimal"/>
      <w:start w:val="1"/>
    </w:lvl>
  </w:abstractNum>
  <w:abstractNum w:abstractNumId="126">
    <w:nsid w:val="744939A3"/>
    <w:multiLevelType w:val="hybridMultilevel"/>
    <w:lvl w:ilvl="0">
      <w:lvlJc w:val="left"/>
      <w:lvlText w:val="%1."/>
      <w:numFmt w:val="decimal"/>
      <w:start w:val="1"/>
    </w:lvl>
  </w:abstractNum>
  <w:abstractNum w:abstractNumId="127">
    <w:nsid w:val="4FA0D2E3"/>
    <w:multiLevelType w:val="hybridMultilevel"/>
    <w:lvl w:ilvl="0">
      <w:lvlJc w:val="left"/>
      <w:lvlText w:val="%1."/>
      <w:numFmt w:val="decimal"/>
      <w:start w:val="2"/>
    </w:lvl>
  </w:abstractNum>
  <w:abstractNum w:abstractNumId="128">
    <w:nsid w:val="6B1D2C14"/>
    <w:multiLevelType w:val="hybridMultilevel"/>
    <w:lvl w:ilvl="0">
      <w:lvlJc w:val="left"/>
      <w:lvlText w:val="%1."/>
      <w:numFmt w:val="decimal"/>
      <w:start w:val="3"/>
    </w:lvl>
  </w:abstractNum>
  <w:abstractNum w:abstractNumId="129">
    <w:nsid w:val="68B867D3"/>
    <w:multiLevelType w:val="hybridMultilevel"/>
    <w:lvl w:ilvl="0">
      <w:lvlJc w:val="left"/>
      <w:lvlText w:val="(%1)"/>
      <w:numFmt w:val="decimal"/>
      <w:start w:val="1"/>
    </w:lvl>
  </w:abstractNum>
  <w:abstractNum w:abstractNumId="130">
    <w:nsid w:val="3F7F5DD9"/>
    <w:multiLevelType w:val="hybridMultilevel"/>
    <w:lvl w:ilvl="0">
      <w:lvlJc w:val="left"/>
      <w:lvlText w:val="%1"/>
      <w:numFmt w:val="decimal"/>
      <w:start w:val="1"/>
    </w:lvl>
    <w:lvl w:ilvl="1">
      <w:lvlJc w:val="left"/>
      <w:lvlText w:val="(%2)"/>
      <w:numFmt w:val="decimal"/>
      <w:start w:val="4"/>
    </w:lvl>
  </w:abstractNum>
  <w:abstractNum w:abstractNumId="131">
    <w:nsid w:val="2AE05A34"/>
    <w:multiLevelType w:val="hybridMultilevel"/>
    <w:lvl w:ilvl="0">
      <w:lvlJc w:val="left"/>
      <w:lvlText w:val="%1."/>
      <w:numFmt w:val="decimal"/>
      <w:start w:val="4"/>
    </w:lvl>
    <w:lvl w:ilvl="1">
      <w:lvlJc w:val="left"/>
      <w:lvlText w:val="%2"/>
      <w:numFmt w:val="decimal"/>
      <w:start w:val="1"/>
    </w:lvl>
  </w:abstractNum>
  <w:abstractNum w:abstractNumId="132">
    <w:nsid w:val="32794FF7"/>
    <w:multiLevelType w:val="hybridMultilevel"/>
    <w:lvl w:ilvl="0">
      <w:lvlJc w:val="left"/>
      <w:lvlText w:val="(%1)"/>
      <w:numFmt w:val="decimal"/>
      <w:start w:val="1"/>
    </w:lvl>
  </w:abstractNum>
  <w:abstractNum w:abstractNumId="133">
    <w:nsid w:val="5454945E"/>
    <w:multiLevelType w:val="hybridMultilevel"/>
    <w:lvl w:ilvl="0">
      <w:lvlJc w:val="left"/>
      <w:lvlText w:val="%1"/>
      <w:numFmt w:val="decimal"/>
      <w:start w:val="1"/>
    </w:lvl>
    <w:lvl w:ilvl="1">
      <w:lvlJc w:val="left"/>
      <w:lvlText w:val="(%2)"/>
      <w:numFmt w:val="decimal"/>
      <w:start w:val="1"/>
    </w:lvl>
  </w:abstractNum>
  <w:abstractNum w:abstractNumId="134">
    <w:nsid w:val="4DEFDFA0"/>
    <w:multiLevelType w:val="hybridMultilevel"/>
    <w:lvl w:ilvl="0">
      <w:lvlJc w:val="left"/>
      <w:lvlText w:val="%1."/>
      <w:numFmt w:val="decimal"/>
      <w:start w:val="5"/>
    </w:lvl>
    <w:lvl w:ilvl="1">
      <w:lvlJc w:val="left"/>
      <w:lvlText w:val="%2"/>
      <w:numFmt w:val="decimal"/>
      <w:start w:val="1"/>
    </w:lvl>
  </w:abstractNum>
  <w:abstractNum w:abstractNumId="135">
    <w:nsid w:val="2123D5F2"/>
    <w:multiLevelType w:val="hybridMultilevel"/>
    <w:lvl w:ilvl="0">
      <w:lvlJc w:val="left"/>
      <w:lvlText w:val="%1."/>
      <w:numFmt w:val="decimal"/>
      <w:start w:val="6"/>
    </w:lvl>
  </w:abstractNum>
  <w:abstractNum w:abstractNumId="136">
    <w:nsid w:val="135B8110"/>
    <w:multiLevelType w:val="hybridMultilevel"/>
    <w:lvl w:ilvl="0">
      <w:lvlJc w:val="left"/>
      <w:lvlText w:val="(%1)"/>
      <w:numFmt w:val="decimal"/>
      <w:start w:val="1"/>
    </w:lvl>
  </w:abstractNum>
  <w:abstractNum w:abstractNumId="137">
    <w:nsid w:val="94927A8"/>
    <w:multiLevelType w:val="hybridMultilevel"/>
    <w:lvl w:ilvl="0">
      <w:lvlJc w:val="left"/>
      <w:lvlText w:val="(%1)"/>
      <w:numFmt w:val="decimal"/>
      <w:start w:val="1"/>
    </w:lvl>
  </w:abstractNum>
  <w:abstractNum w:abstractNumId="138">
    <w:nsid w:val="DCDF8F6"/>
    <w:multiLevelType w:val="hybridMultilevel"/>
    <w:lvl w:ilvl="0">
      <w:lvlJc w:val="left"/>
      <w:lvlText w:val="%1"/>
      <w:numFmt w:val="decimal"/>
      <w:start w:val="1"/>
    </w:lvl>
    <w:lvl w:ilvl="1">
      <w:lvlJc w:val="left"/>
      <w:lvlText w:val="(%2)"/>
      <w:numFmt w:val="decimal"/>
      <w:start w:val="6"/>
    </w:lvl>
  </w:abstractNum>
  <w:abstractNum w:abstractNumId="139">
    <w:nsid w:val="52D7B105"/>
    <w:multiLevelType w:val="hybridMultilevel"/>
    <w:lvl w:ilvl="0">
      <w:lvlJc w:val="left"/>
      <w:lvlText w:val="%1."/>
      <w:numFmt w:val="decimal"/>
      <w:start w:val="7"/>
    </w:lvl>
    <w:lvl w:ilvl="1">
      <w:lvlJc w:val="left"/>
      <w:lvlText w:val="%2"/>
      <w:numFmt w:val="decimal"/>
      <w:start w:val="1"/>
    </w:lvl>
  </w:abstractNum>
  <w:abstractNum w:abstractNumId="140">
    <w:nsid w:val="2E8A6394"/>
    <w:multiLevelType w:val="hybridMultilevel"/>
    <w:lvl w:ilvl="0">
      <w:lvlJc w:val="left"/>
      <w:lvlText w:val="(%1)"/>
      <w:numFmt w:val="decimal"/>
      <w:start w:val="1"/>
    </w:lvl>
  </w:abstractNum>
  <w:abstractNum w:abstractNumId="141">
    <w:nsid w:val="24E60401"/>
    <w:multiLevelType w:val="hybridMultilevel"/>
    <w:lvl w:ilvl="0">
      <w:lvlJc w:val="left"/>
      <w:lvlText w:val="(%1)"/>
      <w:numFmt w:val="decimal"/>
      <w:start w:val="10"/>
    </w:lvl>
  </w:abstractNum>
  <w:abstractNum w:abstractNumId="142">
    <w:nsid w:val="2A6AD9BE"/>
    <w:multiLevelType w:val="hybridMultilevel"/>
    <w:lvl w:ilvl="0">
      <w:lvlJc w:val="left"/>
      <w:lvlText w:val="(%1)"/>
      <w:numFmt w:val="decimal"/>
      <w:start w:val="1"/>
    </w:lvl>
  </w:abstractNum>
  <w:abstractNum w:abstractNumId="143">
    <w:nsid w:val="BAAC1B4"/>
    <w:multiLevelType w:val="hybridMultilevel"/>
    <w:lvl w:ilvl="0">
      <w:lvlJc w:val="left"/>
      <w:lvlText w:val="(%1)"/>
      <w:numFmt w:val="decimal"/>
      <w:start w:val="7"/>
    </w:lvl>
  </w:abstractNum>
  <w:abstractNum w:abstractNumId="144">
    <w:nsid w:val="36B2ACBC"/>
    <w:multiLevelType w:val="hybridMultilevel"/>
    <w:lvl w:ilvl="0">
      <w:lvlJc w:val="left"/>
      <w:lvlText w:val="%1."/>
      <w:numFmt w:val="decimal"/>
      <w:start w:val="8"/>
    </w:lvl>
  </w:abstractNum>
  <w:abstractNum w:abstractNumId="145">
    <w:nsid w:val="779D8544"/>
    <w:multiLevelType w:val="hybridMultilevel"/>
    <w:lvl w:ilvl="0">
      <w:lvlJc w:val="left"/>
      <w:lvlText w:val="%1."/>
      <w:numFmt w:val="decimal"/>
      <w:start w:val="9"/>
    </w:lvl>
  </w:abstractNum>
  <w:abstractNum w:abstractNumId="146">
    <w:nsid w:val="4AB26E78"/>
    <w:multiLevelType w:val="hybridMultilevel"/>
    <w:lvl w:ilvl="0">
      <w:lvlJc w:val="left"/>
      <w:lvlText w:val="%1."/>
      <w:numFmt w:val="decimal"/>
      <w:start w:val="10"/>
    </w:lvl>
  </w:abstractNum>
  <w:abstractNum w:abstractNumId="147">
    <w:nsid w:val="21FAA2FA"/>
    <w:multiLevelType w:val="hybridMultilevel"/>
    <w:lvl w:ilvl="0">
      <w:lvlJc w:val="left"/>
      <w:lvlText w:val="%1."/>
      <w:numFmt w:val="decimal"/>
      <w:start w:val="11"/>
    </w:lvl>
  </w:abstractNum>
  <w:abstractNum w:abstractNumId="148">
    <w:nsid w:val="5451CF49"/>
    <w:multiLevelType w:val="hybridMultilevel"/>
    <w:lvl w:ilvl="0">
      <w:lvlJc w:val="left"/>
      <w:lvlText w:val="%1."/>
      <w:numFmt w:val="decimal"/>
      <w:start w:val="12"/>
    </w:lvl>
  </w:abstractNum>
  <w:abstractNum w:abstractNumId="149">
    <w:nsid w:val="6181EF69"/>
    <w:multiLevelType w:val="hybridMultilevel"/>
    <w:lvl w:ilvl="0">
      <w:lvlJc w:val="left"/>
      <w:lvlText w:val="%1."/>
      <w:numFmt w:val="decimal"/>
      <w:start w:val="13"/>
    </w:lvl>
  </w:abstractNum>
  <w:abstractNum w:abstractNumId="150">
    <w:nsid w:val="3E6400E6"/>
    <w:multiLevelType w:val="hybridMultilevel"/>
    <w:lvl w:ilvl="0">
      <w:lvlJc w:val="left"/>
      <w:lvlText w:val="(%1)"/>
      <w:numFmt w:val="lowerRoman"/>
      <w:start w:val="2"/>
    </w:lvl>
  </w:abstractNum>
  <w:abstractNum w:abstractNumId="151">
    <w:nsid w:val="14217E23"/>
    <w:multiLevelType w:val="hybridMultilevel"/>
    <w:lvl w:ilvl="0">
      <w:lvlJc w:val="left"/>
      <w:lvlText w:val="(%1)"/>
      <w:numFmt w:val="decimal"/>
      <w:start w:val="1"/>
    </w:lvl>
  </w:abstractNum>
  <w:abstractNum w:abstractNumId="152">
    <w:nsid w:val="710757D0"/>
    <w:multiLevelType w:val="hybridMultilevel"/>
    <w:lvl w:ilvl="0">
      <w:lvlJc w:val="left"/>
      <w:lvlText w:val="(%1)"/>
      <w:numFmt w:val="decimal"/>
      <w:start w:val="1"/>
    </w:lvl>
  </w:abstractNum>
  <w:abstractNum w:abstractNumId="153">
    <w:nsid w:val="5015CD1A"/>
    <w:multiLevelType w:val="hybridMultilevel"/>
    <w:lvl w:ilvl="0">
      <w:lvlJc w:val="left"/>
      <w:lvlText w:val="(%1)"/>
      <w:numFmt w:val="decimal"/>
      <w:start w:val="4"/>
    </w:lvl>
  </w:abstractNum>
  <w:abstractNum w:abstractNumId="154">
    <w:nsid w:val="424479DA"/>
    <w:multiLevelType w:val="hybridMultilevel"/>
    <w:lvl w:ilvl="0">
      <w:lvlJc w:val="left"/>
      <w:lvlText w:val="%1."/>
      <w:numFmt w:val="decimal"/>
      <w:start w:val="1"/>
    </w:lvl>
  </w:abstractNum>
  <w:abstractNum w:abstractNumId="155">
    <w:nsid w:val="1A9A9E69"/>
    <w:multiLevelType w:val="hybridMultilevel"/>
    <w:lvl w:ilvl="0">
      <w:lvlJc w:val="left"/>
      <w:lvlText w:val="%1."/>
      <w:numFmt w:val="decimal"/>
      <w:start w:val="2"/>
    </w:lvl>
  </w:abstractNum>
  <w:abstractNum w:abstractNumId="156">
    <w:nsid w:val="475E256A"/>
    <w:multiLevelType w:val="hybridMultilevel"/>
    <w:lvl w:ilvl="0">
      <w:lvlJc w:val="left"/>
      <w:lvlText w:val="(%1)"/>
      <w:numFmt w:val="lowerRoman"/>
      <w:start w:val="1"/>
    </w:lvl>
  </w:abstractNum>
  <w:abstractNum w:abstractNumId="157">
    <w:nsid w:val="368DB37E"/>
    <w:multiLevelType w:val="hybridMultilevel"/>
    <w:lvl w:ilvl="0">
      <w:lvlJc w:val="left"/>
      <w:lvlText w:val="%1."/>
      <w:numFmt w:val="decimal"/>
      <w:start w:val="3"/>
    </w:lvl>
  </w:abstractNum>
  <w:abstractNum w:abstractNumId="158">
    <w:nsid w:val="6A3B714C"/>
    <w:multiLevelType w:val="hybridMultilevel"/>
    <w:lvl w:ilvl="0">
      <w:lvlJc w:val="left"/>
      <w:lvlText w:val="%1."/>
      <w:numFmt w:val="decimal"/>
      <w:start w:val="4"/>
    </w:lvl>
  </w:abstractNum>
  <w:abstractNum w:abstractNumId="159">
    <w:nsid w:val="327B517E"/>
    <w:multiLevelType w:val="hybridMultilevel"/>
    <w:lvl w:ilvl="0">
      <w:lvlJc w:val="left"/>
      <w:lvlText w:val="%1."/>
      <w:numFmt w:val="decimal"/>
      <w:start w:val="6"/>
    </w:lvl>
  </w:abstractNum>
  <w:abstractNum w:abstractNumId="160">
    <w:nsid w:val="1F461B51"/>
    <w:multiLevelType w:val="hybridMultilevel"/>
    <w:lvl w:ilvl="0">
      <w:lvlJc w:val="left"/>
      <w:lvlText w:val="%1."/>
      <w:numFmt w:val="decimal"/>
      <w:start w:val="7"/>
    </w:lvl>
  </w:abstractNum>
  <w:abstractNum w:abstractNumId="161">
    <w:nsid w:val="29BACF25"/>
    <w:multiLevelType w:val="hybridMultilevel"/>
    <w:lvl w:ilvl="0">
      <w:lvlJc w:val="left"/>
      <w:lvlText w:val="%1."/>
      <w:numFmt w:val="decimal"/>
      <w:start w:val="8"/>
    </w:lvl>
  </w:abstractNum>
  <w:abstractNum w:abstractNumId="162">
    <w:nsid w:val="5D5BABB3"/>
    <w:multiLevelType w:val="hybridMultilevel"/>
    <w:lvl w:ilvl="0">
      <w:lvlJc w:val="left"/>
      <w:lvlText w:val="%1."/>
      <w:numFmt w:val="decimal"/>
      <w:start w:val="9"/>
    </w:lvl>
  </w:abstractNum>
  <w:abstractNum w:abstractNumId="163">
    <w:nsid w:val="51BF6B48"/>
    <w:multiLevelType w:val="hybridMultilevel"/>
    <w:lvl w:ilvl="0">
      <w:lvlJc w:val="left"/>
      <w:lvlText w:val="%1."/>
      <w:numFmt w:val="decimal"/>
      <w:start w:val="10"/>
    </w:lvl>
  </w:abstractNum>
  <w:abstractNum w:abstractNumId="164">
    <w:nsid w:val="7E0F6384"/>
    <w:multiLevelType w:val="hybridMultilevel"/>
    <w:lvl w:ilvl="0">
      <w:lvlJc w:val="left"/>
      <w:lvlText w:val="%1."/>
      <w:numFmt w:val="decimal"/>
      <w:start w:val="11"/>
    </w:lvl>
  </w:abstractNum>
  <w:abstractNum w:abstractNumId="165">
    <w:nsid w:val="2B4B8B53"/>
    <w:multiLevelType w:val="hybridMultilevel"/>
    <w:lvl w:ilvl="0">
      <w:lvlJc w:val="left"/>
      <w:lvlText w:val="%1."/>
      <w:numFmt w:val="decimal"/>
      <w:start w:val="12"/>
    </w:lvl>
  </w:abstractNum>
  <w:abstractNum w:abstractNumId="166">
    <w:nsid w:val="72E3413A"/>
    <w:multiLevelType w:val="hybridMultilevel"/>
    <w:lvl w:ilvl="0">
      <w:lvlJc w:val="left"/>
      <w:lvlText w:val="(%1)"/>
      <w:numFmt w:val="decimal"/>
      <w:start w:val="1"/>
    </w:lvl>
  </w:abstractNum>
  <w:abstractNum w:abstractNumId="167">
    <w:nsid w:val="116AE494"/>
    <w:multiLevelType w:val="hybridMultilevel"/>
    <w:lvl w:ilvl="0">
      <w:lvlJc w:val="left"/>
      <w:lvlText w:val="%1."/>
      <w:numFmt w:val="decimal"/>
      <w:start w:val="2"/>
    </w:lvl>
  </w:abstractNum>
  <w:abstractNum w:abstractNumId="168">
    <w:nsid w:val="3494B2FB"/>
    <w:multiLevelType w:val="hybridMultilevel"/>
    <w:lvl w:ilvl="0">
      <w:lvlJc w:val="left"/>
      <w:lvlText w:val="%1."/>
      <w:numFmt w:val="decimal"/>
      <w:start w:val="3"/>
    </w:lvl>
  </w:abstractNum>
  <w:abstractNum w:abstractNumId="169">
    <w:nsid w:val="B13A31"/>
    <w:multiLevelType w:val="hybridMultilevel"/>
    <w:lvl w:ilvl="0">
      <w:lvlJc w:val="left"/>
      <w:lvlText w:val="(%1)"/>
      <w:numFmt w:val="decimal"/>
      <w:start w:val="1"/>
    </w:lvl>
  </w:abstractNum>
  <w:abstractNum w:abstractNumId="170">
    <w:nsid w:val="64429599"/>
    <w:multiLevelType w:val="hybridMultilevel"/>
    <w:lvl w:ilvl="0">
      <w:lvlJc w:val="left"/>
      <w:lvlText w:val="(%1)"/>
      <w:numFmt w:val="decimal"/>
      <w:start w:val="2"/>
    </w:lvl>
  </w:abstractNum>
  <w:abstractNum w:abstractNumId="171">
    <w:nsid w:val="631F1690"/>
    <w:multiLevelType w:val="hybridMultilevel"/>
    <w:lvl w:ilvl="0">
      <w:lvlJc w:val="left"/>
      <w:lvlText w:val="(%1)"/>
      <w:numFmt w:val="decimal"/>
      <w:start w:val="2"/>
    </w:lvl>
  </w:abstractNum>
  <w:abstractNum w:abstractNumId="172">
    <w:nsid w:val="25973E32"/>
    <w:multiLevelType w:val="hybridMultilevel"/>
    <w:lvl w:ilvl="0">
      <w:lvlJc w:val="left"/>
      <w:lvlText w:val="(%1)"/>
      <w:numFmt w:val="decimal"/>
      <w:start w:val="7"/>
    </w:lvl>
  </w:abstractNum>
  <w:abstractNum w:abstractNumId="173">
    <w:nsid w:val="EAD6F57"/>
    <w:multiLevelType w:val="hybridMultilevel"/>
    <w:lvl w:ilvl="0">
      <w:lvlJc w:val="left"/>
      <w:lvlText w:val="%1."/>
      <w:numFmt w:val="decimal"/>
      <w:start w:val="1"/>
    </w:lvl>
  </w:abstractNum>
  <w:abstractNum w:abstractNumId="174">
    <w:nsid w:val="6EC9D844"/>
    <w:multiLevelType w:val="hybridMultilevel"/>
    <w:lvl w:ilvl="0">
      <w:lvlJc w:val="left"/>
      <w:lvlText w:val="%1."/>
      <w:numFmt w:val="decimal"/>
      <w:start w:val="2"/>
    </w:lvl>
  </w:abstractNum>
  <w:abstractNum w:abstractNumId="175">
    <w:nsid w:val="5C49EAEE"/>
    <w:multiLevelType w:val="hybridMultilevel"/>
    <w:lvl w:ilvl="0">
      <w:lvlJc w:val="left"/>
      <w:lvlText w:val="%1."/>
      <w:numFmt w:val="decimal"/>
      <w:start w:val="3"/>
    </w:lvl>
  </w:abstractNum>
  <w:abstractNum w:abstractNumId="176">
    <w:nsid w:val="64AF49B"/>
    <w:multiLevelType w:val="hybridMultilevel"/>
    <w:lvl w:ilvl="0">
      <w:lvlJc w:val="left"/>
      <w:lvlText w:val="%1."/>
      <w:numFmt w:val="decimal"/>
      <w:start w:val="4"/>
    </w:lvl>
  </w:abstractNum>
  <w:abstractNum w:abstractNumId="177">
    <w:nsid w:val="397C46BC"/>
    <w:multiLevelType w:val="hybridMultilevel"/>
    <w:lvl w:ilvl="0">
      <w:lvlJc w:val="left"/>
      <w:lvlText w:val="(%1)"/>
      <w:numFmt w:val="decimal"/>
      <w:start w:val="5"/>
    </w:lvl>
  </w:abstractNum>
  <w:abstractNum w:abstractNumId="178">
    <w:nsid w:val="7E448DE9"/>
    <w:multiLevelType w:val="hybridMultilevel"/>
    <w:lvl w:ilvl="0">
      <w:lvlJc w:val="left"/>
      <w:lvlText w:val="%1."/>
      <w:numFmt w:val="decimal"/>
      <w:start w:val="5"/>
    </w:lvl>
  </w:abstractNum>
  <w:abstractNum w:abstractNumId="179">
    <w:nsid w:val="5A9CC3E5"/>
    <w:multiLevelType w:val="hybridMultilevel"/>
    <w:lvl w:ilvl="0">
      <w:lvlJc w:val="left"/>
      <w:lvlText w:val="%1."/>
      <w:numFmt w:val="decimal"/>
      <w:start w:val="6"/>
    </w:lvl>
  </w:abstractNum>
  <w:abstractNum w:abstractNumId="180">
    <w:nsid w:val="1AFE3625"/>
    <w:multiLevelType w:val="hybridMultilevel"/>
    <w:lvl w:ilvl="0">
      <w:lvlJc w:val="left"/>
      <w:lvlText w:val="(%1)"/>
      <w:numFmt w:val="decimal"/>
      <w:start w:val="1"/>
    </w:lvl>
  </w:abstractNum>
  <w:abstractNum w:abstractNumId="181">
    <w:nsid w:val="3CA88ECF"/>
    <w:multiLevelType w:val="hybridMultilevel"/>
    <w:lvl w:ilvl="0">
      <w:lvlJc w:val="left"/>
      <w:lvlText w:val="%1."/>
      <w:numFmt w:val="decimal"/>
      <w:start w:val="7"/>
    </w:lvl>
  </w:abstractNum>
  <w:abstractNum w:abstractNumId="182">
    <w:nsid w:val="6EBE4208"/>
    <w:multiLevelType w:val="hybridMultilevel"/>
    <w:lvl w:ilvl="0">
      <w:lvlJc w:val="left"/>
      <w:lvlText w:val="(%1)"/>
      <w:numFmt w:val="decimal"/>
      <w:start w:val="1"/>
    </w:lvl>
  </w:abstractNum>
  <w:abstractNum w:abstractNumId="183">
    <w:nsid w:val="C058DF5"/>
    <w:multiLevelType w:val="hybridMultilevel"/>
    <w:lvl w:ilvl="0">
      <w:lvlJc w:val="left"/>
      <w:lvlText w:val="(%1)"/>
      <w:numFmt w:val="decimal"/>
      <w:start w:val="6"/>
    </w:lvl>
  </w:abstractNum>
  <w:abstractNum w:abstractNumId="184">
    <w:nsid w:val="CBE5BE9"/>
    <w:multiLevelType w:val="hybridMultilevel"/>
    <w:lvl w:ilvl="0">
      <w:lvlJc w:val="left"/>
      <w:lvlText w:val="%1."/>
      <w:numFmt w:val="decimal"/>
      <w:start w:val="8"/>
    </w:lvl>
  </w:abstractNum>
  <w:abstractNum w:abstractNumId="185">
    <w:nsid w:val="3102BBE2"/>
    <w:multiLevelType w:val="hybridMultilevel"/>
    <w:lvl w:ilvl="0">
      <w:lvlJc w:val="left"/>
      <w:lvlText w:val="%1."/>
      <w:numFmt w:val="decimal"/>
      <w:start w:val="9"/>
    </w:lvl>
  </w:abstractNum>
  <w:abstractNum w:abstractNumId="186">
    <w:nsid w:val="26A02C5E"/>
    <w:multiLevelType w:val="hybridMultilevel"/>
    <w:lvl w:ilvl="0">
      <w:lvlJc w:val="left"/>
      <w:lvlText w:val="%1."/>
      <w:numFmt w:val="decimal"/>
      <w:start w:val="10"/>
    </w:lvl>
  </w:abstractNum>
  <w:abstractNum w:abstractNumId="187">
    <w:nsid w:val="541C8153"/>
    <w:multiLevelType w:val="hybridMultilevel"/>
    <w:lvl w:ilvl="0">
      <w:lvlJc w:val="left"/>
      <w:lvlText w:val="%1."/>
      <w:numFmt w:val="decimal"/>
      <w:start w:val="11"/>
    </w:lvl>
  </w:abstractNum>
  <w:abstractNum w:abstractNumId="188">
    <w:nsid w:val="67906F60"/>
    <w:multiLevelType w:val="hybridMultilevel"/>
    <w:lvl w:ilvl="0">
      <w:lvlJc w:val="left"/>
      <w:lvlText w:val="%1."/>
      <w:numFmt w:val="decimal"/>
      <w:start w:val="12"/>
    </w:lvl>
  </w:abstractNum>
  <w:abstractNum w:abstractNumId="189">
    <w:nsid w:val="10DB9DAA"/>
    <w:multiLevelType w:val="hybridMultilevel"/>
    <w:lvl w:ilvl="0">
      <w:lvlJc w:val="left"/>
      <w:lvlText w:val="%1."/>
      <w:numFmt w:val="decimal"/>
      <w:start w:val="13"/>
    </w:lvl>
  </w:abstractNum>
  <w:abstractNum w:abstractNumId="190">
    <w:nsid w:val="697D2D2"/>
    <w:multiLevelType w:val="hybridMultilevel"/>
    <w:lvl w:ilvl="0">
      <w:lvlJc w:val="left"/>
      <w:lvlText w:val="%1."/>
      <w:numFmt w:val="decimal"/>
      <w:start w:val="14"/>
    </w:lvl>
  </w:abstractNum>
  <w:abstractNum w:abstractNumId="191">
    <w:nsid w:val="6D68AB2"/>
    <w:multiLevelType w:val="hybridMultilevel"/>
    <w:lvl w:ilvl="0">
      <w:lvlJc w:val="left"/>
      <w:lvlText w:val="%1."/>
      <w:numFmt w:val="decimal"/>
      <w:start w:val="15"/>
    </w:lvl>
  </w:abstractNum>
  <w:abstractNum w:abstractNumId="192">
    <w:nsid w:val="3A966CD0"/>
    <w:multiLevelType w:val="hybridMultilevel"/>
    <w:lvl w:ilvl="0">
      <w:lvlJc w:val="left"/>
      <w:lvlText w:val="(%1)"/>
      <w:numFmt w:val="decimal"/>
      <w:start w:val="3"/>
    </w:lvl>
  </w:abstractNum>
  <w:abstractNum w:abstractNumId="193">
    <w:nsid w:val="63F37E85"/>
    <w:multiLevelType w:val="hybridMultilevel"/>
    <w:lvl w:ilvl="0">
      <w:lvlJc w:val="left"/>
      <w:lvlText w:val="(%1)"/>
      <w:numFmt w:val="lowerLetter"/>
      <w:start w:val="1"/>
    </w:lvl>
  </w:abstractNum>
  <w:abstractNum w:abstractNumId="194">
    <w:nsid w:val="5895F5FA"/>
    <w:multiLevelType w:val="hybridMultilevel"/>
    <w:lvl w:ilvl="0">
      <w:lvlJc w:val="left"/>
      <w:lvlText w:val="(%1)"/>
      <w:numFmt w:val="lowerLetter"/>
      <w:start w:val="6"/>
    </w:lvl>
  </w:abstractNum>
  <w:abstractNum w:abstractNumId="195">
    <w:nsid w:val="38A5D054"/>
    <w:multiLevelType w:val="hybridMultilevel"/>
    <w:lvl w:ilvl="0">
      <w:lvlJc w:val="left"/>
      <w:lvlText w:val="(%1)"/>
      <w:numFmt w:val="lowerLetter"/>
      <w:start w:val="1"/>
    </w:lvl>
  </w:abstractNum>
  <w:abstractNum w:abstractNumId="196">
    <w:nsid w:val="F3F09D8"/>
    <w:multiLevelType w:val="hybridMultilevel"/>
    <w:lvl w:ilvl="0">
      <w:lvlJc w:val="left"/>
      <w:lvlText w:val="(%1)"/>
      <w:numFmt w:val="lowerLetter"/>
      <w:start w:val="5"/>
    </w:lvl>
  </w:abstractNum>
  <w:abstractNum w:abstractNumId="197">
    <w:nsid w:val="4B793735"/>
    <w:multiLevelType w:val="hybridMultilevel"/>
    <w:lvl w:ilvl="0">
      <w:lvlJc w:val="left"/>
      <w:lvlText w:val="(%1)"/>
      <w:numFmt w:val="lowerLetter"/>
      <w:start w:val="2"/>
    </w:lvl>
  </w:abstractNum>
  <w:abstractNum w:abstractNumId="198">
    <w:nsid w:val="4A10B4E8"/>
    <w:multiLevelType w:val="hybridMultilevel"/>
    <w:lvl w:ilvl="0">
      <w:lvlJc w:val="left"/>
      <w:lvlText w:val="(%1)"/>
      <w:numFmt w:val="decimal"/>
      <w:start w:val="2"/>
    </w:lvl>
  </w:abstractNum>
  <w:abstractNum w:abstractNumId="199">
    <w:nsid w:val="43D3BCD4"/>
    <w:multiLevelType w:val="hybridMultilevel"/>
    <w:lvl w:ilvl="0">
      <w:lvlJc w:val="left"/>
      <w:lvlText w:val="(%1)"/>
      <w:numFmt w:val="lowerRoman"/>
      <w:start w:val="1"/>
    </w:lvl>
  </w:abstractNum>
  <w:abstractNum w:abstractNumId="200">
    <w:nsid w:val="4C2A7166"/>
    <w:multiLevelType w:val="hybridMultilevel"/>
    <w:lvl w:ilvl="0">
      <w:lvlJc w:val="left"/>
      <w:lvlText w:val="%1."/>
      <w:numFmt w:val="decimal"/>
      <w:start w:val="1"/>
    </w:lvl>
    <w:lvl w:ilvl="1">
      <w:lvlJc w:val="left"/>
      <w:lvlText w:val="(%2)"/>
      <w:numFmt w:val="lowerLetter"/>
      <w:start w:val="1"/>
    </w:lvl>
  </w:abstractNum>
  <w:abstractNum w:abstractNumId="201">
    <w:nsid w:val="2E534A82"/>
    <w:multiLevelType w:val="hybridMultilevel"/>
    <w:lvl w:ilvl="0">
      <w:lvlJc w:val="left"/>
      <w:lvlText w:val="%1."/>
      <w:numFmt w:val="decimal"/>
      <w:start w:val="1"/>
    </w:lvl>
    <w:lvl w:ilvl="1">
      <w:lvlJc w:val="left"/>
      <w:lvlText w:val="(%2)"/>
      <w:numFmt w:val="lowerLetter"/>
      <w:start w:val="1"/>
    </w:lvl>
  </w:abstractNum>
  <w:abstractNum w:abstractNumId="202">
    <w:nsid w:val="26F2D364"/>
    <w:multiLevelType w:val="hybridMultilevel"/>
    <w:lvl w:ilvl="0">
      <w:lvlJc w:val="left"/>
      <w:lvlText w:val="(%1)"/>
      <w:numFmt w:val="decimal"/>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90" Type="http://schemas.openxmlformats.org/officeDocument/2006/relationships/image" Target="media/image172.png"/><Relationship Id="rId202"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340" Type="http://schemas.openxmlformats.org/officeDocument/2006/relationships/image" Target="media/image299.png"/><Relationship Id="rId341" Type="http://schemas.openxmlformats.org/officeDocument/2006/relationships/image" Target="media/image300.png"/><Relationship Id="rId342"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49" Type="http://schemas.openxmlformats.org/officeDocument/2006/relationships/image" Target="media/image308.png"/><Relationship Id="rId350" Type="http://schemas.openxmlformats.org/officeDocument/2006/relationships/image" Target="media/image309.png"/><Relationship Id="rId351" Type="http://schemas.openxmlformats.org/officeDocument/2006/relationships/image" Target="media/image310.png"/><Relationship Id="rId352" Type="http://schemas.openxmlformats.org/officeDocument/2006/relationships/image" Target="media/image311.png"/><Relationship Id="rId353" Type="http://schemas.openxmlformats.org/officeDocument/2006/relationships/image" Target="media/image312.png"/><Relationship Id="rId354" Type="http://schemas.openxmlformats.org/officeDocument/2006/relationships/image" Target="media/image313.png"/><Relationship Id="rId355" Type="http://schemas.openxmlformats.org/officeDocument/2006/relationships/image" Target="media/image314.png"/><Relationship Id="rId356" Type="http://schemas.openxmlformats.org/officeDocument/2006/relationships/image" Target="media/image315.png"/><Relationship Id="rId357" Type="http://schemas.openxmlformats.org/officeDocument/2006/relationships/image" Target="media/image316.png"/><Relationship Id="rId358" Type="http://schemas.openxmlformats.org/officeDocument/2006/relationships/image" Target="media/image317.png"/><Relationship Id="rId359" Type="http://schemas.openxmlformats.org/officeDocument/2006/relationships/image" Target="media/image318.png"/><Relationship Id="rId360" Type="http://schemas.openxmlformats.org/officeDocument/2006/relationships/image" Target="media/image319.png"/><Relationship Id="rId361" Type="http://schemas.openxmlformats.org/officeDocument/2006/relationships/image" Target="media/image320.png"/><Relationship Id="rId362" Type="http://schemas.openxmlformats.org/officeDocument/2006/relationships/image" Target="media/image321.png"/><Relationship Id="rId363" Type="http://schemas.openxmlformats.org/officeDocument/2006/relationships/image" Target="media/image322.png"/><Relationship Id="rId364" Type="http://schemas.openxmlformats.org/officeDocument/2006/relationships/image" Target="media/image323.pn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png"/><Relationship Id="rId369" Type="http://schemas.openxmlformats.org/officeDocument/2006/relationships/image" Target="media/image328.png"/><Relationship Id="rId370" Type="http://schemas.openxmlformats.org/officeDocument/2006/relationships/image" Target="media/image329.png"/><Relationship Id="rId371" Type="http://schemas.openxmlformats.org/officeDocument/2006/relationships/image" Target="media/image330.png"/><Relationship Id="rId372" Type="http://schemas.openxmlformats.org/officeDocument/2006/relationships/image" Target="media/image331.png"/><Relationship Id="rId373" Type="http://schemas.openxmlformats.org/officeDocument/2006/relationships/image" Target="media/image332.png"/><Relationship Id="rId374" Type="http://schemas.openxmlformats.org/officeDocument/2006/relationships/image" Target="media/image333.png"/><Relationship Id="rId375" Type="http://schemas.openxmlformats.org/officeDocument/2006/relationships/image" Target="media/image334.png"/><Relationship Id="rId376" Type="http://schemas.openxmlformats.org/officeDocument/2006/relationships/image" Target="media/image335.png"/><Relationship Id="rId377"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0"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385" Type="http://schemas.openxmlformats.org/officeDocument/2006/relationships/image" Target="media/image344.png"/><Relationship Id="rId386" Type="http://schemas.openxmlformats.org/officeDocument/2006/relationships/image" Target="media/image345.png"/><Relationship Id="rId387" Type="http://schemas.openxmlformats.org/officeDocument/2006/relationships/image" Target="media/image346.png"/><Relationship Id="rId388" Type="http://schemas.openxmlformats.org/officeDocument/2006/relationships/image" Target="media/image347.png"/><Relationship Id="rId389" Type="http://schemas.openxmlformats.org/officeDocument/2006/relationships/image" Target="media/image348.png"/><Relationship Id="rId390" Type="http://schemas.openxmlformats.org/officeDocument/2006/relationships/image" Target="media/image349.png"/><Relationship Id="rId391" Type="http://schemas.openxmlformats.org/officeDocument/2006/relationships/image" Target="media/image350.png"/><Relationship Id="rId392" Type="http://schemas.openxmlformats.org/officeDocument/2006/relationships/image" Target="media/image351.png"/><Relationship Id="rId393" Type="http://schemas.openxmlformats.org/officeDocument/2006/relationships/image" Target="media/image352.png"/><Relationship Id="rId394" Type="http://schemas.openxmlformats.org/officeDocument/2006/relationships/image" Target="media/image353.png"/><Relationship Id="rId395" Type="http://schemas.openxmlformats.org/officeDocument/2006/relationships/image" Target="media/image354.png"/><Relationship Id="rId396" Type="http://schemas.openxmlformats.org/officeDocument/2006/relationships/image" Target="media/image355.png"/><Relationship Id="rId397" Type="http://schemas.openxmlformats.org/officeDocument/2006/relationships/image" Target="media/image356.png"/><Relationship Id="rId398" Type="http://schemas.openxmlformats.org/officeDocument/2006/relationships/image" Target="media/image357.png"/><Relationship Id="rId399" Type="http://schemas.openxmlformats.org/officeDocument/2006/relationships/image" Target="media/image358.png"/><Relationship Id="rId400" Type="http://schemas.openxmlformats.org/officeDocument/2006/relationships/image" Target="media/image359.png"/><Relationship Id="rId401" Type="http://schemas.openxmlformats.org/officeDocument/2006/relationships/image" Target="media/image360.png"/><Relationship Id="rId402" Type="http://schemas.openxmlformats.org/officeDocument/2006/relationships/image" Target="media/image361.png"/><Relationship Id="rId403" Type="http://schemas.openxmlformats.org/officeDocument/2006/relationships/image" Target="media/image362.png"/><Relationship Id="rId404" Type="http://schemas.openxmlformats.org/officeDocument/2006/relationships/image" Target="media/image363.png"/><Relationship Id="rId405" Type="http://schemas.openxmlformats.org/officeDocument/2006/relationships/image" Target="media/image364.png"/><Relationship Id="rId406" Type="http://schemas.openxmlformats.org/officeDocument/2006/relationships/image" Target="media/image365.png"/><Relationship Id="rId407" Type="http://schemas.openxmlformats.org/officeDocument/2006/relationships/image" Target="media/image366.png"/><Relationship Id="rId408" Type="http://schemas.openxmlformats.org/officeDocument/2006/relationships/image" Target="media/image367.png"/><Relationship Id="rId409" Type="http://schemas.openxmlformats.org/officeDocument/2006/relationships/image" Target="media/image368.png"/><Relationship Id="rId410" Type="http://schemas.openxmlformats.org/officeDocument/2006/relationships/image" Target="media/image369.png"/><Relationship Id="rId411" Type="http://schemas.openxmlformats.org/officeDocument/2006/relationships/image" Target="media/image370.png"/><Relationship Id="rId412" Type="http://schemas.openxmlformats.org/officeDocument/2006/relationships/image" Target="media/image371.png"/><Relationship Id="rId413" Type="http://schemas.openxmlformats.org/officeDocument/2006/relationships/image" Target="media/image372.png"/><Relationship Id="rId414" Type="http://schemas.openxmlformats.org/officeDocument/2006/relationships/image" Target="media/image373.png"/><Relationship Id="rId415" Type="http://schemas.openxmlformats.org/officeDocument/2006/relationships/image" Target="media/image374.png"/><Relationship Id="rId416" Type="http://schemas.openxmlformats.org/officeDocument/2006/relationships/image" Target="media/image375.png"/><Relationship Id="rId417" Type="http://schemas.openxmlformats.org/officeDocument/2006/relationships/image" Target="media/image376.png"/><Relationship Id="rId418" Type="http://schemas.openxmlformats.org/officeDocument/2006/relationships/image" Target="media/image377.png"/><Relationship Id="rId419" Type="http://schemas.openxmlformats.org/officeDocument/2006/relationships/image" Target="media/image378.png"/><Relationship Id="rId420" Type="http://schemas.openxmlformats.org/officeDocument/2006/relationships/image" Target="media/image379.png"/><Relationship Id="rId421" Type="http://schemas.openxmlformats.org/officeDocument/2006/relationships/image" Target="media/image380.png"/><Relationship Id="rId422" Type="http://schemas.openxmlformats.org/officeDocument/2006/relationships/image" Target="media/image381.png"/><Relationship Id="rId423" Type="http://schemas.openxmlformats.org/officeDocument/2006/relationships/image" Target="media/image382.png"/><Relationship Id="rId424" Type="http://schemas.openxmlformats.org/officeDocument/2006/relationships/image" Target="media/image383.png"/><Relationship Id="rId425" Type="http://schemas.openxmlformats.org/officeDocument/2006/relationships/image" Target="media/image384.png"/><Relationship Id="rId426" Type="http://schemas.openxmlformats.org/officeDocument/2006/relationships/image" Target="media/image385.png"/><Relationship Id="rId427" Type="http://schemas.openxmlformats.org/officeDocument/2006/relationships/image" Target="media/image386.png"/><Relationship Id="rId428" Type="http://schemas.openxmlformats.org/officeDocument/2006/relationships/image" Target="media/image387.png"/><Relationship Id="rId429" Type="http://schemas.openxmlformats.org/officeDocument/2006/relationships/image" Target="media/image388.png"/><Relationship Id="rId430" Type="http://schemas.openxmlformats.org/officeDocument/2006/relationships/image" Target="media/image389.png"/><Relationship Id="rId431" Type="http://schemas.openxmlformats.org/officeDocument/2006/relationships/image" Target="media/image390.png"/><Relationship Id="rId432" Type="http://schemas.openxmlformats.org/officeDocument/2006/relationships/image" Target="media/image391.png"/><Relationship Id="rId433" Type="http://schemas.openxmlformats.org/officeDocument/2006/relationships/image" Target="media/image392.png"/><Relationship Id="rId434" Type="http://schemas.openxmlformats.org/officeDocument/2006/relationships/image" Target="media/image393.png"/><Relationship Id="rId435" Type="http://schemas.openxmlformats.org/officeDocument/2006/relationships/image" Target="media/image394.png"/><Relationship Id="rId436" Type="http://schemas.openxmlformats.org/officeDocument/2006/relationships/image" Target="media/image395.png"/><Relationship Id="rId437" Type="http://schemas.openxmlformats.org/officeDocument/2006/relationships/image" Target="media/image396.png"/><Relationship Id="rId438" Type="http://schemas.openxmlformats.org/officeDocument/2006/relationships/image" Target="media/image397.png"/><Relationship Id="rId439" Type="http://schemas.openxmlformats.org/officeDocument/2006/relationships/image" Target="media/image398.png"/><Relationship Id="rId440" Type="http://schemas.openxmlformats.org/officeDocument/2006/relationships/image" Target="media/image399.png"/><Relationship Id="rId441" Type="http://schemas.openxmlformats.org/officeDocument/2006/relationships/image" Target="media/image400.png"/><Relationship Id="rId442" Type="http://schemas.openxmlformats.org/officeDocument/2006/relationships/image" Target="media/image401.png"/><Relationship Id="rId443" Type="http://schemas.openxmlformats.org/officeDocument/2006/relationships/image" Target="media/image402.png"/><Relationship Id="rId444" Type="http://schemas.openxmlformats.org/officeDocument/2006/relationships/image" Target="media/image403.png"/><Relationship Id="rId445" Type="http://schemas.openxmlformats.org/officeDocument/2006/relationships/image" Target="media/image404.png"/><Relationship Id="rId446" Type="http://schemas.openxmlformats.org/officeDocument/2006/relationships/image" Target="media/image405.jpeg"/><Relationship Id="rId447" Type="http://schemas.openxmlformats.org/officeDocument/2006/relationships/image" Target="media/image406.png"/><Relationship Id="rId448" Type="http://schemas.openxmlformats.org/officeDocument/2006/relationships/image" Target="media/image407.png"/><Relationship Id="rId449" Type="http://schemas.openxmlformats.org/officeDocument/2006/relationships/image" Target="media/image408.png"/><Relationship Id="rId450" Type="http://schemas.openxmlformats.org/officeDocument/2006/relationships/image" Target="media/image409.png"/><Relationship Id="rId179" Type="http://schemas.openxmlformats.org/officeDocument/2006/relationships/hyperlink" Target="http://www.sec.gov/Archives/edgar/data/1269238/000119312523179242/d511773dex31.htm" TargetMode="External"/><Relationship Id="rId180" Type="http://schemas.openxmlformats.org/officeDocument/2006/relationships/hyperlink" Target="http://www.sec.gov/Archives/edgar/data/1788956/000101915521000102/trip424b3.htm" TargetMode="External"/><Relationship Id="rId181" Type="http://schemas.openxmlformats.org/officeDocument/2006/relationships/hyperlink" Target="http://www.sec.gov/Archives/edgar/data/1269238/000119312522123585/d270872dex22.htm" TargetMode="External"/><Relationship Id="rId182" Type="http://schemas.openxmlformats.org/officeDocument/2006/relationships/hyperlink" Target="http://www.sec.gov/Archives/edgar/data/1269238/000119312507252669/d6k.htm" TargetMode="External"/><Relationship Id="rId183" Type="http://schemas.openxmlformats.org/officeDocument/2006/relationships/hyperlink" Target="http://www.sec.gov/Archives/edgar/data/1269238/000110465914058529/a14-18611_2ex4d1.htm" TargetMode="External"/><Relationship Id="rId184" Type="http://schemas.openxmlformats.org/officeDocument/2006/relationships/hyperlink" Target="http://www.sec.gov/Archives/edgar/data/1269238/000110465914058529/a14-18611_2ex4d2.htm" TargetMode="External"/><Relationship Id="rId185" Type="http://schemas.openxmlformats.org/officeDocument/2006/relationships/hyperlink" Target="http://www.sec.gov/Archives/edgar/data/1269238/000110465915043298/a15-13200_1ex4d3.htm" TargetMode="External"/><Relationship Id="rId186" Type="http://schemas.openxmlformats.org/officeDocument/2006/relationships/hyperlink" Target="http://www.sec.gov/Archives/edgar/data/1269238/000110465915072882/a15-21792_1ex4d3.htm" TargetMode="External"/><Relationship Id="rId187" Type="http://schemas.openxmlformats.org/officeDocument/2006/relationships/hyperlink" Target="http://www.sec.gov/Archives/edgar/data/1269238/000110465915086416/a15-25431_1ex4d3.htm" TargetMode="External"/><Relationship Id="rId188" Type="http://schemas.openxmlformats.org/officeDocument/2006/relationships/hyperlink" Target="http://www.sec.gov/Archives/edgar/data/1269238/000119312519292357/d833782dex41.htm" TargetMode="External"/><Relationship Id="rId189" Type="http://schemas.openxmlformats.org/officeDocument/2006/relationships/hyperlink" Target="http://www.sec.gov/Archives/edgar/data/1269238/000119312519292357/d833782dex42.htm" TargetMode="External"/><Relationship Id="rId191" Type="http://schemas.openxmlformats.org/officeDocument/2006/relationships/hyperlink" Target="http://www.sec.gov/Archives/edgar/data/1269238/000119312524186622/d831588dex49.htm" TargetMode="External"/><Relationship Id="rId192" Type="http://schemas.openxmlformats.org/officeDocument/2006/relationships/hyperlink" Target="http://www.sec.gov/Archives/edgar/data/1269238/000119312508094260/dex24.htm" TargetMode="External"/><Relationship Id="rId193" Type="http://schemas.openxmlformats.org/officeDocument/2006/relationships/hyperlink" Target="http://www.sec.gov/Archives/edgar/data/1269238/000119312524122196/d630811dex212.htm" TargetMode="External"/><Relationship Id="rId194" Type="http://schemas.openxmlformats.org/officeDocument/2006/relationships/hyperlink" Target="http://www.sec.gov/Archives/edgar/data/1269238/000114554903001453/u98691exv10w2.txt" TargetMode="External"/><Relationship Id="rId195" Type="http://schemas.openxmlformats.org/officeDocument/2006/relationships/hyperlink" Target="http://www.sec.gov/Archives/edgar/data/0001269238/000119312523080422/d442074dex42.htm" TargetMode="External"/><Relationship Id="rId196" Type="http://schemas.openxmlformats.org/officeDocument/2006/relationships/hyperlink" Target="http://www.sec.gov/Archives/edgar/data/1269238/000119312504084450/dex420.htm" TargetMode="External"/><Relationship Id="rId197" Type="http://schemas.openxmlformats.org/officeDocument/2006/relationships/hyperlink" Target="http://www.sec.gov/Archives/edgar/data/1269238/000119312508094260/dex421.htm" TargetMode="External"/><Relationship Id="rId198" Type="http://schemas.openxmlformats.org/officeDocument/2006/relationships/hyperlink" Target="http://www.sec.gov/Archives/edgar/data/1269238/000136231009008154/c85975exv4w21.htm" TargetMode="External"/><Relationship Id="rId199" Type="http://schemas.openxmlformats.org/officeDocument/2006/relationships/hyperlink" Target="http://www.sec.gov/Archives/edgar/data/1269238/000119312512141674/d265566dex430.htm" TargetMode="External"/><Relationship Id="rId200" Type="http://schemas.openxmlformats.org/officeDocument/2006/relationships/hyperlink" Target="http://www.sec.gov/Archives/edgar/data/1269238/000095014215002324/eh1501305_13d-ctrip.htm#EXHIBIT3" TargetMode="External"/><Relationship Id="rId201" Type="http://schemas.openxmlformats.org/officeDocument/2006/relationships/hyperlink" Target="http://www.sec.gov/Archives/edgar/data/1269238/000095014215002324/eh1501305_13d-ctrip.htm#EXHIBIT4" TargetMode="External"/><Relationship Id="rId203" Type="http://schemas.openxmlformats.org/officeDocument/2006/relationships/hyperlink" Target="http://www.sec.gov/Archives/edgar/data/1269238/000110465916113453/a16-2532_1ex4d51.htm" TargetMode="External"/><Relationship Id="rId204" Type="http://schemas.openxmlformats.org/officeDocument/2006/relationships/hyperlink" Target="http://www.sec.gov/Archives/edgar/data/1269238/000110465916113453/a16-2532_1ex4d52.htm" TargetMode="External"/><Relationship Id="rId205" Type="http://schemas.openxmlformats.org/officeDocument/2006/relationships/hyperlink" Target="http://www.sec.gov/Archives/edgar/data/1269238/000110465916113453/a16-2532_1ex4d53.htm" TargetMode="External"/><Relationship Id="rId206" Type="http://schemas.openxmlformats.org/officeDocument/2006/relationships/hyperlink" Target="http://www.sec.gov/Archives/edgar/data/1269238/000110465916113453/a16-2532_1ex4d54.htm" TargetMode="External"/><Relationship Id="rId207" Type="http://schemas.openxmlformats.org/officeDocument/2006/relationships/hyperlink" Target="http://www.sec.gov/Archives/edgar/data/1269238/000110465916113453/a16-2532_1ex4d55.htm" TargetMode="External"/><Relationship Id="rId208" Type="http://schemas.openxmlformats.org/officeDocument/2006/relationships/hyperlink" Target="http://www.sec.gov/Archives/edgar/data/1269238/000110465916113453/a16-2532_1ex4d56.htm" TargetMode="External"/><Relationship Id="rId209" Type="http://schemas.openxmlformats.org/officeDocument/2006/relationships/hyperlink" Target="http://www.sec.gov/Archives/edgar/data/1269238/000119312521081372/d73725dex434.htm" TargetMode="External"/><Relationship Id="rId210" Type="http://schemas.openxmlformats.org/officeDocument/2006/relationships/hyperlink" Target="http://www.sec.gov/Archives/edgar/data/1269238/000119312521081372/d73725dex435.htm" TargetMode="External"/><Relationship Id="rId211" Type="http://schemas.openxmlformats.org/officeDocument/2006/relationships/hyperlink" Target="http://www.sec.gov/Archives/edgar/data/1269238/000119312525078429/d779353dex426.htm" TargetMode="External"/><Relationship Id="rId212" Type="http://schemas.openxmlformats.org/officeDocument/2006/relationships/hyperlink" Target="http://www.sec.gov/Archives/edgar/data/1269238/000119312524122196/d630811dex111.htm" TargetMode="External"/><Relationship Id="rId213" Type="http://schemas.openxmlformats.org/officeDocument/2006/relationships/hyperlink" Target="http://www.sec.gov/Archives/edgar/data/1269238/000119312525078429/d779353dex112.htm" TargetMode="External"/><Relationship Id="rId214" Type="http://schemas.openxmlformats.org/officeDocument/2006/relationships/hyperlink" Target="http://www.sec.gov/Archives/edgar/data/1269238/000119312524122196/d630811d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2026-04-28T05:43:40Z</dcterms:created>
  <dcterms:modified xsi:type="dcterms:W3CDTF">2026-04-28T05:43:40Z</dcterms:modified>
</cp:coreProperties>
</file>